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E3B" w:rsidRDefault="00B96E3B" w:rsidP="00B96E3B">
      <w:pPr>
        <w:rPr>
          <w:lang w:val="kk-KZ"/>
        </w:rPr>
      </w:pPr>
      <w:bookmarkStart w:id="0" w:name="_GoBack"/>
      <w:bookmarkEnd w:id="0"/>
    </w:p>
    <w:tbl>
      <w:tblPr>
        <w:tblW w:w="0" w:type="auto"/>
        <w:tblCellSpacing w:w="0" w:type="auto"/>
        <w:tblLook w:val="04A0" w:firstRow="1" w:lastRow="0" w:firstColumn="1" w:lastColumn="0" w:noHBand="0" w:noVBand="1"/>
      </w:tblPr>
      <w:tblGrid>
        <w:gridCol w:w="5614"/>
        <w:gridCol w:w="3741"/>
      </w:tblGrid>
      <w:tr w:rsidR="00B96E3B" w:rsidRPr="00365A9B" w:rsidTr="00BE2853">
        <w:trPr>
          <w:trHeight w:val="30"/>
          <w:tblCellSpacing w:w="0" w:type="auto"/>
        </w:trPr>
        <w:tc>
          <w:tcPr>
            <w:tcW w:w="5916" w:type="dxa"/>
            <w:tcMar>
              <w:top w:w="15" w:type="dxa"/>
              <w:left w:w="15" w:type="dxa"/>
              <w:bottom w:w="15" w:type="dxa"/>
              <w:right w:w="15" w:type="dxa"/>
            </w:tcMar>
            <w:vAlign w:val="center"/>
          </w:tcPr>
          <w:p w:rsidR="00B96E3B" w:rsidRPr="007D4B3E" w:rsidRDefault="00B96E3B" w:rsidP="00BE2853">
            <w:pPr>
              <w:jc w:val="center"/>
            </w:pPr>
            <w:r>
              <w:rPr>
                <w:color w:val="000000"/>
                <w:sz w:val="20"/>
              </w:rPr>
              <w:t> </w:t>
            </w:r>
          </w:p>
        </w:tc>
        <w:tc>
          <w:tcPr>
            <w:tcW w:w="3861" w:type="dxa"/>
            <w:tcMar>
              <w:top w:w="15" w:type="dxa"/>
              <w:left w:w="15" w:type="dxa"/>
              <w:bottom w:w="15" w:type="dxa"/>
              <w:right w:w="15" w:type="dxa"/>
            </w:tcMar>
            <w:vAlign w:val="center"/>
          </w:tcPr>
          <w:p w:rsidR="00B96E3B" w:rsidRPr="007D4B3E" w:rsidRDefault="00B96E3B" w:rsidP="00BE2853">
            <w:pPr>
              <w:jc w:val="center"/>
            </w:pPr>
            <w:r w:rsidRPr="007D4B3E">
              <w:rPr>
                <w:color w:val="000000"/>
                <w:sz w:val="20"/>
              </w:rPr>
              <w:t>Приложение 1</w:t>
            </w:r>
            <w:r w:rsidRPr="007D4B3E">
              <w:br/>
            </w:r>
            <w:r w:rsidRPr="007D4B3E">
              <w:rPr>
                <w:color w:val="000000"/>
                <w:sz w:val="20"/>
              </w:rPr>
              <w:t>к приказу Министра</w:t>
            </w:r>
            <w:r w:rsidRPr="007D4B3E">
              <w:br/>
            </w:r>
            <w:r w:rsidRPr="007D4B3E">
              <w:rPr>
                <w:color w:val="000000"/>
                <w:sz w:val="20"/>
              </w:rPr>
              <w:t>образования и науки</w:t>
            </w:r>
            <w:r w:rsidRPr="007D4B3E">
              <w:br/>
            </w:r>
            <w:r w:rsidRPr="007D4B3E">
              <w:rPr>
                <w:color w:val="000000"/>
                <w:sz w:val="20"/>
              </w:rPr>
              <w:t>Республики Казахстан</w:t>
            </w:r>
            <w:r w:rsidRPr="007D4B3E">
              <w:br/>
            </w:r>
            <w:r w:rsidRPr="007D4B3E">
              <w:rPr>
                <w:color w:val="000000"/>
                <w:sz w:val="20"/>
              </w:rPr>
              <w:t>от 24 июня 2020 года № 262</w:t>
            </w:r>
          </w:p>
        </w:tc>
      </w:tr>
      <w:tr w:rsidR="00B96E3B" w:rsidRPr="00365A9B" w:rsidTr="00BE2853">
        <w:trPr>
          <w:trHeight w:val="30"/>
          <w:tblCellSpacing w:w="0" w:type="auto"/>
        </w:trPr>
        <w:tc>
          <w:tcPr>
            <w:tcW w:w="5916" w:type="dxa"/>
            <w:tcMar>
              <w:top w:w="15" w:type="dxa"/>
              <w:left w:w="15" w:type="dxa"/>
              <w:bottom w:w="15" w:type="dxa"/>
              <w:right w:w="15" w:type="dxa"/>
            </w:tcMar>
            <w:vAlign w:val="center"/>
          </w:tcPr>
          <w:p w:rsidR="00B96E3B" w:rsidRPr="007D4B3E" w:rsidRDefault="00B96E3B" w:rsidP="00BE2853">
            <w:pPr>
              <w:jc w:val="center"/>
            </w:pPr>
            <w:r>
              <w:rPr>
                <w:color w:val="000000"/>
                <w:sz w:val="20"/>
              </w:rPr>
              <w:t> </w:t>
            </w:r>
          </w:p>
        </w:tc>
        <w:tc>
          <w:tcPr>
            <w:tcW w:w="3861" w:type="dxa"/>
            <w:tcMar>
              <w:top w:w="15" w:type="dxa"/>
              <w:left w:w="15" w:type="dxa"/>
              <w:bottom w:w="15" w:type="dxa"/>
              <w:right w:w="15" w:type="dxa"/>
            </w:tcMar>
            <w:vAlign w:val="center"/>
          </w:tcPr>
          <w:p w:rsidR="00B96E3B" w:rsidRPr="007D4B3E" w:rsidRDefault="00B96E3B" w:rsidP="00BE2853">
            <w:pPr>
              <w:jc w:val="center"/>
            </w:pPr>
            <w:r w:rsidRPr="007D4B3E">
              <w:rPr>
                <w:color w:val="000000"/>
                <w:sz w:val="20"/>
              </w:rPr>
              <w:t xml:space="preserve"> Приложение 1 к Правилам </w:t>
            </w:r>
            <w:r w:rsidRPr="007D4B3E">
              <w:br/>
            </w:r>
            <w:r w:rsidRPr="007D4B3E">
              <w:rPr>
                <w:color w:val="000000"/>
                <w:sz w:val="20"/>
              </w:rPr>
              <w:t xml:space="preserve">государственного учета </w:t>
            </w:r>
            <w:r w:rsidRPr="007D4B3E">
              <w:br/>
            </w:r>
            <w:r w:rsidRPr="007D4B3E">
              <w:rPr>
                <w:color w:val="000000"/>
                <w:sz w:val="20"/>
              </w:rPr>
              <w:t xml:space="preserve">научных, научно-технических </w:t>
            </w:r>
            <w:r w:rsidRPr="007D4B3E">
              <w:br/>
            </w:r>
            <w:r w:rsidRPr="007D4B3E">
              <w:rPr>
                <w:color w:val="000000"/>
                <w:sz w:val="20"/>
              </w:rPr>
              <w:t xml:space="preserve">проектов и программ, </w:t>
            </w:r>
            <w:r w:rsidRPr="007D4B3E">
              <w:br/>
            </w:r>
            <w:r w:rsidRPr="007D4B3E">
              <w:rPr>
                <w:color w:val="000000"/>
                <w:sz w:val="20"/>
              </w:rPr>
              <w:t xml:space="preserve">финансируемых из </w:t>
            </w:r>
            <w:r w:rsidRPr="007D4B3E">
              <w:br/>
            </w:r>
            <w:r w:rsidRPr="007D4B3E">
              <w:rPr>
                <w:color w:val="000000"/>
                <w:sz w:val="20"/>
              </w:rPr>
              <w:t xml:space="preserve">государственного бюджета, и </w:t>
            </w:r>
            <w:r w:rsidRPr="007D4B3E">
              <w:br/>
            </w:r>
            <w:r w:rsidRPr="007D4B3E">
              <w:rPr>
                <w:color w:val="000000"/>
                <w:sz w:val="20"/>
              </w:rPr>
              <w:t>отчетов по их выполнению</w:t>
            </w:r>
          </w:p>
        </w:tc>
      </w:tr>
      <w:tr w:rsidR="00B96E3B" w:rsidTr="00BE2853">
        <w:trPr>
          <w:trHeight w:val="30"/>
          <w:tblCellSpacing w:w="0" w:type="auto"/>
        </w:trPr>
        <w:tc>
          <w:tcPr>
            <w:tcW w:w="5916" w:type="dxa"/>
            <w:tcMar>
              <w:top w:w="15" w:type="dxa"/>
              <w:left w:w="15" w:type="dxa"/>
              <w:bottom w:w="15" w:type="dxa"/>
              <w:right w:w="15" w:type="dxa"/>
            </w:tcMar>
            <w:vAlign w:val="center"/>
          </w:tcPr>
          <w:p w:rsidR="00B96E3B" w:rsidRPr="007D4B3E" w:rsidRDefault="00B96E3B" w:rsidP="00BE2853">
            <w:pPr>
              <w:jc w:val="center"/>
            </w:pPr>
            <w:r>
              <w:rPr>
                <w:color w:val="000000"/>
                <w:sz w:val="20"/>
              </w:rPr>
              <w:t> </w:t>
            </w:r>
          </w:p>
        </w:tc>
        <w:tc>
          <w:tcPr>
            <w:tcW w:w="3861" w:type="dxa"/>
            <w:tcMar>
              <w:top w:w="15" w:type="dxa"/>
              <w:left w:w="15" w:type="dxa"/>
              <w:bottom w:w="15" w:type="dxa"/>
              <w:right w:w="15" w:type="dxa"/>
            </w:tcMar>
            <w:vAlign w:val="center"/>
          </w:tcPr>
          <w:p w:rsidR="00B96E3B" w:rsidRDefault="00B96E3B" w:rsidP="00BE2853">
            <w:pPr>
              <w:jc w:val="center"/>
            </w:pPr>
            <w:r>
              <w:rPr>
                <w:color w:val="000000"/>
                <w:sz w:val="20"/>
              </w:rPr>
              <w:t>Форма</w:t>
            </w:r>
          </w:p>
        </w:tc>
      </w:tr>
    </w:tbl>
    <w:p w:rsidR="00B96E3B" w:rsidRDefault="00B96E3B" w:rsidP="00B96E3B">
      <w:pPr>
        <w:rPr>
          <w:lang w:val="kk-KZ"/>
        </w:rPr>
      </w:pPr>
    </w:p>
    <w:tbl>
      <w:tblPr>
        <w:tblW w:w="9889" w:type="dxa"/>
        <w:tblCellSpacing w:w="0" w:type="auto"/>
        <w:tblInd w:w="-134"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1"/>
        <w:gridCol w:w="531"/>
        <w:gridCol w:w="2913"/>
        <w:gridCol w:w="6334"/>
      </w:tblGrid>
      <w:tr w:rsidR="00B96E3B" w:rsidRPr="00FC7552" w:rsidTr="00BE2853">
        <w:trPr>
          <w:gridBefore w:val="1"/>
          <w:wBefore w:w="111" w:type="dxa"/>
          <w:trHeight w:val="30"/>
          <w:tblCellSpacing w:w="0" w:type="auto"/>
        </w:trPr>
        <w:tc>
          <w:tcPr>
            <w:tcW w:w="977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96E3B" w:rsidRPr="00A94015" w:rsidRDefault="00B96E3B" w:rsidP="00BE2853">
            <w:pPr>
              <w:ind w:left="120" w:hanging="120"/>
              <w:jc w:val="both"/>
              <w:rPr>
                <w:b/>
              </w:rPr>
            </w:pPr>
            <w:r w:rsidRPr="00A94015">
              <w:rPr>
                <w:b/>
                <w:bCs/>
                <w:color w:val="000000"/>
                <w:kern w:val="24"/>
              </w:rPr>
              <w:t xml:space="preserve">Стандарт государственной услуги </w:t>
            </w:r>
            <w:r w:rsidRPr="00A94015">
              <w:rPr>
                <w:b/>
                <w:color w:val="000000"/>
              </w:rPr>
              <w:t>«Государственный учет научных, научно- технических проектов и программ, финансируемых из государственного бюджета, и отчетов по их выполнению»</w:t>
            </w:r>
          </w:p>
          <w:p w:rsidR="00B96E3B" w:rsidRPr="00FC7552" w:rsidRDefault="00B96E3B" w:rsidP="00BE2853">
            <w:pPr>
              <w:ind w:left="120" w:hanging="120"/>
              <w:rPr>
                <w:sz w:val="28"/>
                <w:szCs w:val="28"/>
              </w:rPr>
            </w:pPr>
          </w:p>
        </w:tc>
      </w:tr>
      <w:tr w:rsidR="00B96E3B" w:rsidRPr="00FC7552" w:rsidTr="00BE2853">
        <w:tblPrEx>
          <w:tblCellSpacing w:w="0" w:type="nil"/>
          <w:tblBorders>
            <w:top w:val="none" w:sz="0" w:space="0" w:color="auto"/>
            <w:left w:val="none" w:sz="0" w:space="0" w:color="auto"/>
            <w:bottom w:val="none" w:sz="0" w:space="0" w:color="auto"/>
            <w:right w:val="none" w:sz="0" w:space="0" w:color="auto"/>
          </w:tblBorders>
          <w:tblCellMar>
            <w:left w:w="0" w:type="dxa"/>
            <w:right w:w="0" w:type="dxa"/>
          </w:tblCellMar>
        </w:tblPrEx>
        <w:trPr>
          <w:trHeight w:val="579"/>
        </w:trPr>
        <w:tc>
          <w:tcPr>
            <w:tcW w:w="64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B96E3B" w:rsidRPr="00A94015" w:rsidRDefault="00B96E3B" w:rsidP="00BE2853">
            <w:pPr>
              <w:pStyle w:val="a4"/>
              <w:spacing w:before="0" w:beforeAutospacing="0" w:after="0" w:afterAutospacing="0"/>
              <w:jc w:val="center"/>
            </w:pPr>
            <w:r w:rsidRPr="00A94015">
              <w:t>1.</w:t>
            </w:r>
          </w:p>
        </w:tc>
        <w:tc>
          <w:tcPr>
            <w:tcW w:w="2913"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B96E3B" w:rsidRPr="00A94015" w:rsidRDefault="00B96E3B" w:rsidP="00BE2853">
            <w:pPr>
              <w:pStyle w:val="a4"/>
              <w:spacing w:before="0" w:beforeAutospacing="0" w:after="0" w:afterAutospacing="0"/>
              <w:jc w:val="center"/>
            </w:pPr>
            <w:r w:rsidRPr="00A94015">
              <w:t xml:space="preserve">Наименование </w:t>
            </w:r>
            <w:proofErr w:type="spellStart"/>
            <w:r w:rsidRPr="00A94015">
              <w:t>услугодателя</w:t>
            </w:r>
            <w:proofErr w:type="spellEnd"/>
          </w:p>
        </w:tc>
        <w:tc>
          <w:tcPr>
            <w:tcW w:w="6334"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B96E3B" w:rsidRPr="00A94015" w:rsidRDefault="00B96E3B" w:rsidP="00BE2853">
            <w:pPr>
              <w:pStyle w:val="a4"/>
              <w:spacing w:before="0" w:beforeAutospacing="0" w:after="0" w:afterAutospacing="0"/>
              <w:jc w:val="both"/>
              <w:textAlignment w:val="baseline"/>
              <w:rPr>
                <w:color w:val="000000"/>
              </w:rPr>
            </w:pPr>
            <w:r w:rsidRPr="00A94015">
              <w:t>АО «</w:t>
            </w:r>
            <w:r w:rsidRPr="00A94015">
              <w:rPr>
                <w:color w:val="000000"/>
              </w:rPr>
              <w:t xml:space="preserve">Национальный центр государственной научно-технической экспертизы» </w:t>
            </w:r>
          </w:p>
          <w:p w:rsidR="00B96E3B" w:rsidRPr="00A94015" w:rsidRDefault="00B96E3B" w:rsidP="00BE2853">
            <w:pPr>
              <w:pStyle w:val="a4"/>
              <w:spacing w:before="0" w:beforeAutospacing="0" w:after="0" w:afterAutospacing="0"/>
              <w:jc w:val="both"/>
              <w:textAlignment w:val="baseline"/>
              <w:rPr>
                <w:color w:val="000000"/>
              </w:rPr>
            </w:pPr>
          </w:p>
        </w:tc>
      </w:tr>
      <w:tr w:rsidR="00B96E3B" w:rsidRPr="00FC7552" w:rsidTr="00BE2853">
        <w:tblPrEx>
          <w:tblCellSpacing w:w="0" w:type="nil"/>
          <w:tblBorders>
            <w:top w:val="none" w:sz="0" w:space="0" w:color="auto"/>
            <w:left w:val="none" w:sz="0" w:space="0" w:color="auto"/>
            <w:bottom w:val="none" w:sz="0" w:space="0" w:color="auto"/>
            <w:right w:val="none" w:sz="0" w:space="0" w:color="auto"/>
          </w:tblBorders>
          <w:tblCellMar>
            <w:left w:w="0" w:type="dxa"/>
            <w:right w:w="0" w:type="dxa"/>
          </w:tblCellMar>
        </w:tblPrEx>
        <w:trPr>
          <w:trHeight w:val="579"/>
        </w:trPr>
        <w:tc>
          <w:tcPr>
            <w:tcW w:w="642" w:type="dxa"/>
            <w:gridSpan w:val="2"/>
            <w:tcBorders>
              <w:top w:val="single" w:sz="8" w:space="0" w:color="000000"/>
              <w:left w:val="single" w:sz="8" w:space="0" w:color="000000"/>
              <w:right w:val="single" w:sz="8" w:space="0" w:color="000000"/>
            </w:tcBorders>
            <w:shd w:val="clear" w:color="auto" w:fill="auto"/>
            <w:tcMar>
              <w:top w:w="15" w:type="dxa"/>
              <w:left w:w="77" w:type="dxa"/>
              <w:bottom w:w="0" w:type="dxa"/>
              <w:right w:w="77" w:type="dxa"/>
            </w:tcMar>
            <w:hideMark/>
          </w:tcPr>
          <w:p w:rsidR="00B96E3B" w:rsidRPr="00A94015" w:rsidRDefault="00B96E3B" w:rsidP="00BE2853">
            <w:pPr>
              <w:pStyle w:val="a4"/>
              <w:spacing w:before="0" w:beforeAutospacing="0" w:after="0" w:afterAutospacing="0"/>
              <w:jc w:val="center"/>
            </w:pPr>
            <w:r w:rsidRPr="00A94015">
              <w:rPr>
                <w:rFonts w:eastAsia="Calibri"/>
                <w:color w:val="000000"/>
                <w:kern w:val="24"/>
              </w:rPr>
              <w:t>2.</w:t>
            </w:r>
          </w:p>
        </w:tc>
        <w:tc>
          <w:tcPr>
            <w:tcW w:w="2913" w:type="dxa"/>
            <w:tcBorders>
              <w:top w:val="single" w:sz="8" w:space="0" w:color="000000"/>
              <w:left w:val="single" w:sz="8" w:space="0" w:color="000000"/>
              <w:right w:val="single" w:sz="8" w:space="0" w:color="000000"/>
            </w:tcBorders>
            <w:shd w:val="clear" w:color="auto" w:fill="auto"/>
            <w:tcMar>
              <w:top w:w="15" w:type="dxa"/>
              <w:left w:w="77" w:type="dxa"/>
              <w:bottom w:w="0" w:type="dxa"/>
              <w:right w:w="77" w:type="dxa"/>
            </w:tcMar>
            <w:hideMark/>
          </w:tcPr>
          <w:p w:rsidR="00B96E3B" w:rsidRPr="00A94015" w:rsidRDefault="00B96E3B" w:rsidP="00BE2853">
            <w:pPr>
              <w:pStyle w:val="a4"/>
              <w:spacing w:before="0" w:beforeAutospacing="0" w:after="0" w:afterAutospacing="0"/>
              <w:rPr>
                <w:rFonts w:eastAsia="Calibri"/>
                <w:bCs/>
                <w:color w:val="000000"/>
                <w:kern w:val="24"/>
              </w:rPr>
            </w:pPr>
            <w:r w:rsidRPr="00A94015">
              <w:rPr>
                <w:rFonts w:eastAsia="Calibri"/>
                <w:bCs/>
                <w:color w:val="000000"/>
                <w:kern w:val="24"/>
              </w:rPr>
              <w:t>Способы предоставления государственной услуги</w:t>
            </w:r>
          </w:p>
        </w:tc>
        <w:tc>
          <w:tcPr>
            <w:tcW w:w="6334"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B96E3B" w:rsidRPr="00A94015" w:rsidRDefault="00B96E3B" w:rsidP="00BE2853">
            <w:pPr>
              <w:pStyle w:val="Default"/>
              <w:tabs>
                <w:tab w:val="left" w:pos="567"/>
              </w:tabs>
              <w:jc w:val="both"/>
            </w:pPr>
            <w:r w:rsidRPr="00A94015">
              <w:t xml:space="preserve">1) в электронной форме – через информационную систему </w:t>
            </w:r>
            <w:hyperlink r:id="rId4" w:history="1">
              <w:r w:rsidRPr="00A94015">
                <w:rPr>
                  <w:rStyle w:val="a3"/>
                  <w:rFonts w:eastAsia="Times New Roman"/>
                </w:rPr>
                <w:t>www.is.ncste.kz</w:t>
              </w:r>
            </w:hyperlink>
            <w:r w:rsidRPr="00A94015">
              <w:rPr>
                <w:lang w:val="kk-KZ"/>
              </w:rPr>
              <w:t xml:space="preserve"> </w:t>
            </w:r>
            <w:r w:rsidRPr="00A94015">
              <w:t>(далее – информационная система), либо через веб-портал «электронного правительства» (далее – портал);</w:t>
            </w:r>
          </w:p>
          <w:p w:rsidR="00B96E3B" w:rsidRPr="00A94015" w:rsidRDefault="00B96E3B" w:rsidP="00BE2853">
            <w:pPr>
              <w:pStyle w:val="Default"/>
              <w:tabs>
                <w:tab w:val="left" w:pos="567"/>
              </w:tabs>
              <w:jc w:val="both"/>
            </w:pPr>
            <w:r w:rsidRPr="00A94015">
              <w:t xml:space="preserve">2) в бумажной форме – посредством канцелярии </w:t>
            </w:r>
            <w:proofErr w:type="spellStart"/>
            <w:r w:rsidRPr="00A94015">
              <w:t>услугодателя</w:t>
            </w:r>
            <w:proofErr w:type="spellEnd"/>
            <w:r w:rsidRPr="00A94015">
              <w:t xml:space="preserve">. </w:t>
            </w:r>
          </w:p>
        </w:tc>
      </w:tr>
      <w:tr w:rsidR="00B96E3B" w:rsidRPr="00FC7552" w:rsidTr="00BE2853">
        <w:tblPrEx>
          <w:tblCellSpacing w:w="0" w:type="nil"/>
          <w:tblBorders>
            <w:top w:val="none" w:sz="0" w:space="0" w:color="auto"/>
            <w:left w:val="none" w:sz="0" w:space="0" w:color="auto"/>
            <w:bottom w:val="none" w:sz="0" w:space="0" w:color="auto"/>
            <w:right w:val="none" w:sz="0" w:space="0" w:color="auto"/>
          </w:tblBorders>
          <w:tblCellMar>
            <w:left w:w="0" w:type="dxa"/>
            <w:right w:w="0" w:type="dxa"/>
          </w:tblCellMar>
        </w:tblPrEx>
        <w:trPr>
          <w:trHeight w:val="887"/>
        </w:trPr>
        <w:tc>
          <w:tcPr>
            <w:tcW w:w="64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B96E3B" w:rsidRPr="00A94015" w:rsidRDefault="00B96E3B" w:rsidP="00BE2853">
            <w:pPr>
              <w:pStyle w:val="a4"/>
              <w:spacing w:before="0" w:beforeAutospacing="0" w:after="0" w:afterAutospacing="0"/>
              <w:jc w:val="center"/>
            </w:pPr>
            <w:r w:rsidRPr="00A94015">
              <w:rPr>
                <w:rFonts w:eastAsia="Calibri"/>
                <w:color w:val="000000"/>
                <w:kern w:val="24"/>
              </w:rPr>
              <w:t>3.</w:t>
            </w:r>
          </w:p>
        </w:tc>
        <w:tc>
          <w:tcPr>
            <w:tcW w:w="2913"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B96E3B" w:rsidRPr="00A94015" w:rsidRDefault="00B96E3B" w:rsidP="00BE2853">
            <w:pPr>
              <w:pStyle w:val="a4"/>
              <w:spacing w:before="0" w:beforeAutospacing="0" w:after="0" w:afterAutospacing="0"/>
            </w:pPr>
            <w:r w:rsidRPr="00A94015">
              <w:rPr>
                <w:rFonts w:eastAsia="Calibri"/>
                <w:bCs/>
                <w:color w:val="000000"/>
                <w:kern w:val="24"/>
              </w:rPr>
              <w:t>Срок оказания государственной услуги</w:t>
            </w:r>
          </w:p>
        </w:tc>
        <w:tc>
          <w:tcPr>
            <w:tcW w:w="6334"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B96E3B" w:rsidRPr="00A94015" w:rsidRDefault="00B96E3B" w:rsidP="00BE2853">
            <w:pPr>
              <w:pStyle w:val="a4"/>
              <w:spacing w:before="0" w:beforeAutospacing="0" w:after="0" w:afterAutospacing="0"/>
              <w:jc w:val="both"/>
              <w:textAlignment w:val="baseline"/>
              <w:rPr>
                <w:color w:val="000000"/>
                <w:kern w:val="24"/>
              </w:rPr>
            </w:pPr>
            <w:r w:rsidRPr="00A94015">
              <w:rPr>
                <w:rFonts w:eastAsia="Calibri"/>
                <w:bCs/>
                <w:color w:val="000000"/>
                <w:kern w:val="24"/>
              </w:rPr>
              <w:t>Срок оказания:</w:t>
            </w:r>
            <w:r w:rsidRPr="00A94015">
              <w:rPr>
                <w:color w:val="000000"/>
                <w:spacing w:val="2"/>
                <w:kern w:val="24"/>
              </w:rPr>
              <w:t xml:space="preserve"> электронная </w:t>
            </w:r>
            <w:r w:rsidRPr="00A94015">
              <w:t>–</w:t>
            </w:r>
            <w:r w:rsidRPr="00A94015">
              <w:rPr>
                <w:lang w:val="kk-KZ"/>
              </w:rPr>
              <w:t xml:space="preserve"> </w:t>
            </w:r>
            <w:r w:rsidRPr="00A94015">
              <w:rPr>
                <w:color w:val="000000"/>
                <w:spacing w:val="2"/>
                <w:kern w:val="24"/>
              </w:rPr>
              <w:t xml:space="preserve">5 (пять) рабочих дней; бумажная </w:t>
            </w:r>
            <w:r w:rsidRPr="00A94015">
              <w:t xml:space="preserve">– </w:t>
            </w:r>
            <w:r w:rsidRPr="00A94015">
              <w:rPr>
                <w:color w:val="000000"/>
                <w:spacing w:val="2"/>
                <w:kern w:val="24"/>
              </w:rPr>
              <w:t>5 (пять) рабочих дней.</w:t>
            </w:r>
          </w:p>
          <w:p w:rsidR="00B96E3B" w:rsidRPr="00A94015" w:rsidRDefault="00B96E3B" w:rsidP="00BE2853">
            <w:pPr>
              <w:jc w:val="both"/>
            </w:pPr>
          </w:p>
          <w:p w:rsidR="00B96E3B" w:rsidRPr="00A94015" w:rsidRDefault="00B96E3B" w:rsidP="00BE2853">
            <w:pPr>
              <w:jc w:val="both"/>
            </w:pPr>
          </w:p>
        </w:tc>
      </w:tr>
      <w:tr w:rsidR="00B96E3B" w:rsidRPr="00FC7552" w:rsidTr="00BE2853">
        <w:tblPrEx>
          <w:tblCellSpacing w:w="0" w:type="nil"/>
          <w:tblBorders>
            <w:top w:val="none" w:sz="0" w:space="0" w:color="auto"/>
            <w:left w:val="none" w:sz="0" w:space="0" w:color="auto"/>
            <w:bottom w:val="none" w:sz="0" w:space="0" w:color="auto"/>
            <w:right w:val="none" w:sz="0" w:space="0" w:color="auto"/>
          </w:tblBorders>
          <w:tblCellMar>
            <w:left w:w="0" w:type="dxa"/>
            <w:right w:w="0" w:type="dxa"/>
          </w:tblCellMar>
        </w:tblPrEx>
        <w:trPr>
          <w:trHeight w:val="247"/>
        </w:trPr>
        <w:tc>
          <w:tcPr>
            <w:tcW w:w="64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B96E3B" w:rsidRPr="00A94015" w:rsidRDefault="00B96E3B" w:rsidP="00BE2853">
            <w:pPr>
              <w:pStyle w:val="a4"/>
              <w:spacing w:before="0" w:beforeAutospacing="0" w:after="0" w:afterAutospacing="0"/>
              <w:jc w:val="center"/>
            </w:pPr>
            <w:r w:rsidRPr="00A94015">
              <w:rPr>
                <w:rFonts w:eastAsia="Calibri"/>
                <w:color w:val="000000"/>
                <w:kern w:val="24"/>
              </w:rPr>
              <w:t>4.</w:t>
            </w:r>
          </w:p>
        </w:tc>
        <w:tc>
          <w:tcPr>
            <w:tcW w:w="2913"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B96E3B" w:rsidRPr="00A94015" w:rsidRDefault="00B96E3B" w:rsidP="00BE2853">
            <w:pPr>
              <w:pStyle w:val="a4"/>
              <w:spacing w:before="0" w:beforeAutospacing="0" w:after="0" w:afterAutospacing="0"/>
            </w:pPr>
            <w:r w:rsidRPr="00A94015">
              <w:rPr>
                <w:rFonts w:eastAsia="Calibri"/>
                <w:bCs/>
                <w:color w:val="000000"/>
                <w:kern w:val="24"/>
              </w:rPr>
              <w:t>Форма оказания государственной услуги</w:t>
            </w:r>
          </w:p>
        </w:tc>
        <w:tc>
          <w:tcPr>
            <w:tcW w:w="6334"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B96E3B" w:rsidRPr="00A94015" w:rsidRDefault="00B96E3B" w:rsidP="00BE2853">
            <w:pPr>
              <w:pStyle w:val="a4"/>
              <w:spacing w:before="0" w:beforeAutospacing="0" w:after="0" w:afterAutospacing="0"/>
              <w:jc w:val="both"/>
              <w:rPr>
                <w:color w:val="000000"/>
                <w:spacing w:val="2"/>
                <w:kern w:val="24"/>
              </w:rPr>
            </w:pPr>
            <w:r w:rsidRPr="00A94015">
              <w:rPr>
                <w:color w:val="000000"/>
                <w:spacing w:val="2"/>
                <w:kern w:val="24"/>
              </w:rPr>
              <w:t>Электронная/бумажная</w:t>
            </w:r>
          </w:p>
          <w:p w:rsidR="00B96E3B" w:rsidRPr="00A94015" w:rsidRDefault="00B96E3B" w:rsidP="00BE2853">
            <w:pPr>
              <w:pStyle w:val="a4"/>
              <w:spacing w:before="0" w:beforeAutospacing="0" w:after="0" w:afterAutospacing="0"/>
              <w:jc w:val="both"/>
              <w:rPr>
                <w:rFonts w:eastAsia="Calibri"/>
                <w:color w:val="000000"/>
                <w:kern w:val="24"/>
                <w:lang w:val="kk-KZ"/>
              </w:rPr>
            </w:pPr>
          </w:p>
        </w:tc>
      </w:tr>
      <w:tr w:rsidR="00B96E3B" w:rsidRPr="00FC7552" w:rsidTr="00BE2853">
        <w:tblPrEx>
          <w:tblCellSpacing w:w="0" w:type="nil"/>
          <w:tblBorders>
            <w:top w:val="none" w:sz="0" w:space="0" w:color="auto"/>
            <w:left w:val="none" w:sz="0" w:space="0" w:color="auto"/>
            <w:bottom w:val="none" w:sz="0" w:space="0" w:color="auto"/>
            <w:right w:val="none" w:sz="0" w:space="0" w:color="auto"/>
          </w:tblBorders>
          <w:tblCellMar>
            <w:left w:w="0" w:type="dxa"/>
            <w:right w:w="0" w:type="dxa"/>
          </w:tblCellMar>
        </w:tblPrEx>
        <w:trPr>
          <w:trHeight w:val="247"/>
        </w:trPr>
        <w:tc>
          <w:tcPr>
            <w:tcW w:w="64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B96E3B" w:rsidRPr="00A94015" w:rsidRDefault="00B96E3B" w:rsidP="00BE2853">
            <w:pPr>
              <w:pStyle w:val="a4"/>
              <w:spacing w:before="0" w:beforeAutospacing="0" w:after="0" w:afterAutospacing="0"/>
              <w:jc w:val="center"/>
              <w:rPr>
                <w:rFonts w:eastAsia="Calibri"/>
                <w:color w:val="000000"/>
                <w:kern w:val="24"/>
              </w:rPr>
            </w:pPr>
            <w:r w:rsidRPr="00A94015">
              <w:rPr>
                <w:rFonts w:eastAsia="Calibri"/>
                <w:color w:val="000000"/>
                <w:kern w:val="24"/>
              </w:rPr>
              <w:t>5.</w:t>
            </w:r>
          </w:p>
        </w:tc>
        <w:tc>
          <w:tcPr>
            <w:tcW w:w="2913"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B96E3B" w:rsidRPr="00A94015" w:rsidRDefault="00B96E3B" w:rsidP="00BE2853">
            <w:pPr>
              <w:pStyle w:val="a4"/>
              <w:spacing w:before="0" w:beforeAutospacing="0" w:after="0" w:afterAutospacing="0"/>
              <w:rPr>
                <w:rFonts w:eastAsia="Calibri"/>
                <w:bCs/>
                <w:color w:val="000000"/>
                <w:kern w:val="24"/>
              </w:rPr>
            </w:pPr>
            <w:r w:rsidRPr="00A94015">
              <w:rPr>
                <w:rFonts w:eastAsia="Calibri"/>
                <w:bCs/>
                <w:color w:val="000000"/>
                <w:kern w:val="24"/>
              </w:rPr>
              <w:t>Результат оказания государственной услуги</w:t>
            </w:r>
          </w:p>
        </w:tc>
        <w:tc>
          <w:tcPr>
            <w:tcW w:w="6334"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B96E3B" w:rsidRPr="00A94015" w:rsidRDefault="00B96E3B" w:rsidP="00BE2853">
            <w:pPr>
              <w:rPr>
                <w:color w:val="000000"/>
              </w:rPr>
            </w:pPr>
            <w:r w:rsidRPr="00A94015">
              <w:rPr>
                <w:color w:val="000000"/>
              </w:rPr>
              <w:t>Результат оказания государственной услуги:</w:t>
            </w:r>
          </w:p>
          <w:p w:rsidR="00B96E3B" w:rsidRPr="00A94015" w:rsidRDefault="00B96E3B" w:rsidP="00BE2853">
            <w:pPr>
              <w:pStyle w:val="a6"/>
              <w:shd w:val="clear" w:color="auto" w:fill="FFFFFF"/>
              <w:spacing w:after="0" w:line="240" w:lineRule="auto"/>
              <w:ind w:left="0"/>
              <w:jc w:val="both"/>
              <w:textAlignment w:val="baseline"/>
              <w:rPr>
                <w:rFonts w:ascii="Times New Roman" w:eastAsia="Times New Roman" w:hAnsi="Times New Roman" w:cs="Times New Roman"/>
                <w:color w:val="000000"/>
                <w:spacing w:val="2"/>
                <w:sz w:val="24"/>
                <w:szCs w:val="24"/>
                <w:lang w:val="ru-RU" w:eastAsia="ru-RU"/>
              </w:rPr>
            </w:pPr>
            <w:r w:rsidRPr="00A94015">
              <w:rPr>
                <w:rFonts w:ascii="Times New Roman" w:eastAsia="Times New Roman" w:hAnsi="Times New Roman" w:cs="Times New Roman"/>
                <w:color w:val="000000"/>
                <w:spacing w:val="2"/>
                <w:sz w:val="24"/>
                <w:szCs w:val="24"/>
                <w:lang w:val="ru-RU" w:eastAsia="ru-RU"/>
              </w:rPr>
              <w:t>1) на научный, научно-технический проект - выдача регистрационной карты с присвоением номера государственной регистрации;</w:t>
            </w:r>
          </w:p>
          <w:p w:rsidR="00B96E3B" w:rsidRPr="00A94015" w:rsidRDefault="00B96E3B" w:rsidP="00BE2853">
            <w:pPr>
              <w:shd w:val="clear" w:color="auto" w:fill="FFFFFF"/>
              <w:tabs>
                <w:tab w:val="left" w:pos="372"/>
              </w:tabs>
              <w:jc w:val="both"/>
              <w:textAlignment w:val="baseline"/>
              <w:rPr>
                <w:color w:val="000000"/>
                <w:spacing w:val="2"/>
              </w:rPr>
            </w:pPr>
            <w:r w:rsidRPr="00A94015">
              <w:rPr>
                <w:color w:val="000000"/>
                <w:spacing w:val="2"/>
              </w:rPr>
              <w:t>2) на научную, научно-техническую программу - выдача свидетельства c присвоением шифра;</w:t>
            </w:r>
          </w:p>
          <w:p w:rsidR="00B96E3B" w:rsidRPr="00A94015" w:rsidRDefault="00B96E3B" w:rsidP="00BE2853">
            <w:pPr>
              <w:shd w:val="clear" w:color="auto" w:fill="FFFFFF"/>
              <w:jc w:val="both"/>
              <w:textAlignment w:val="baseline"/>
              <w:rPr>
                <w:color w:val="000000"/>
                <w:spacing w:val="2"/>
              </w:rPr>
            </w:pPr>
            <w:r w:rsidRPr="00A94015">
              <w:rPr>
                <w:color w:val="000000"/>
                <w:spacing w:val="2"/>
              </w:rPr>
              <w:t>3) на отчеты по выполнению научных, научно-технических проектов - выдача информационной карты с присвоением инвентарного номера;</w:t>
            </w:r>
          </w:p>
          <w:p w:rsidR="00B96E3B" w:rsidRPr="00A94015" w:rsidRDefault="00B96E3B" w:rsidP="00BE2853">
            <w:pPr>
              <w:shd w:val="clear" w:color="auto" w:fill="FFFFFF"/>
              <w:jc w:val="both"/>
              <w:textAlignment w:val="baseline"/>
              <w:rPr>
                <w:color w:val="000000"/>
                <w:spacing w:val="2"/>
              </w:rPr>
            </w:pPr>
            <w:r w:rsidRPr="00A94015">
              <w:rPr>
                <w:color w:val="000000"/>
                <w:spacing w:val="2"/>
              </w:rPr>
              <w:t>4) на результат научной и (или) научно-технической деятельности - заявка с присвоением номера государственной регистрации.</w:t>
            </w:r>
          </w:p>
          <w:p w:rsidR="00B96E3B" w:rsidRPr="00A94015" w:rsidRDefault="00B96E3B" w:rsidP="00BE2853">
            <w:pPr>
              <w:jc w:val="both"/>
              <w:rPr>
                <w:color w:val="000000"/>
              </w:rPr>
            </w:pPr>
            <w:r w:rsidRPr="00A94015">
              <w:rPr>
                <w:color w:val="000000"/>
              </w:rPr>
              <w:t xml:space="preserve">Результат электронной формы оказания государственной услуги направляется в «личный кабинет» </w:t>
            </w:r>
            <w:proofErr w:type="spellStart"/>
            <w:r w:rsidRPr="00A94015">
              <w:rPr>
                <w:color w:val="000000"/>
              </w:rPr>
              <w:t>услугополучателя</w:t>
            </w:r>
            <w:proofErr w:type="spellEnd"/>
            <w:r w:rsidRPr="00A94015">
              <w:rPr>
                <w:color w:val="000000"/>
              </w:rPr>
              <w:t xml:space="preserve">. Результат бумажной формы оказания государственной услуги направляется </w:t>
            </w:r>
            <w:r w:rsidRPr="00A94015">
              <w:t xml:space="preserve">посредством канцелярии </w:t>
            </w:r>
            <w:proofErr w:type="spellStart"/>
            <w:r w:rsidRPr="00A94015">
              <w:t>услугодателя</w:t>
            </w:r>
            <w:proofErr w:type="spellEnd"/>
            <w:r w:rsidRPr="00A94015">
              <w:rPr>
                <w:color w:val="000000"/>
              </w:rPr>
              <w:t>.</w:t>
            </w:r>
          </w:p>
        </w:tc>
      </w:tr>
      <w:tr w:rsidR="00B96E3B" w:rsidRPr="00FC7552" w:rsidTr="00BE2853">
        <w:tblPrEx>
          <w:tblCellSpacing w:w="0" w:type="nil"/>
          <w:tblBorders>
            <w:top w:val="none" w:sz="0" w:space="0" w:color="auto"/>
            <w:left w:val="none" w:sz="0" w:space="0" w:color="auto"/>
            <w:bottom w:val="none" w:sz="0" w:space="0" w:color="auto"/>
            <w:right w:val="none" w:sz="0" w:space="0" w:color="auto"/>
          </w:tblBorders>
          <w:tblCellMar>
            <w:left w:w="0" w:type="dxa"/>
            <w:right w:w="0" w:type="dxa"/>
          </w:tblCellMar>
        </w:tblPrEx>
        <w:trPr>
          <w:trHeight w:val="247"/>
        </w:trPr>
        <w:tc>
          <w:tcPr>
            <w:tcW w:w="64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B96E3B" w:rsidRPr="00A94015" w:rsidRDefault="00B96E3B" w:rsidP="00BE2853">
            <w:pPr>
              <w:pStyle w:val="a4"/>
              <w:spacing w:before="0" w:beforeAutospacing="0" w:after="0" w:afterAutospacing="0"/>
              <w:jc w:val="center"/>
              <w:rPr>
                <w:rFonts w:eastAsia="Calibri"/>
                <w:color w:val="000000"/>
                <w:kern w:val="24"/>
              </w:rPr>
            </w:pPr>
            <w:r w:rsidRPr="00A94015">
              <w:rPr>
                <w:rFonts w:eastAsia="Calibri"/>
                <w:color w:val="000000"/>
                <w:kern w:val="24"/>
              </w:rPr>
              <w:t>6.</w:t>
            </w:r>
          </w:p>
        </w:tc>
        <w:tc>
          <w:tcPr>
            <w:tcW w:w="2913"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B96E3B" w:rsidRPr="00A94015" w:rsidRDefault="00B96E3B" w:rsidP="00BE2853">
            <w:pPr>
              <w:pStyle w:val="Default"/>
            </w:pPr>
            <w:r w:rsidRPr="00A94015">
              <w:rPr>
                <w:bCs/>
                <w:kern w:val="24"/>
              </w:rPr>
              <w:t xml:space="preserve">Размер оплаты, </w:t>
            </w:r>
            <w:r w:rsidRPr="00A94015">
              <w:t xml:space="preserve">взимаемой с </w:t>
            </w:r>
            <w:proofErr w:type="spellStart"/>
            <w:r w:rsidRPr="00A94015">
              <w:t>услугополучателя</w:t>
            </w:r>
            <w:proofErr w:type="spellEnd"/>
            <w:r w:rsidRPr="00A94015">
              <w:t xml:space="preserve"> при оказании государственной </w:t>
            </w:r>
            <w:r w:rsidRPr="00A94015">
              <w:lastRenderedPageBreak/>
              <w:t>услуги, и способы ее взимания в случаях, предусмотренных законодательством Республики Казахстан</w:t>
            </w:r>
          </w:p>
        </w:tc>
        <w:tc>
          <w:tcPr>
            <w:tcW w:w="6334"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B96E3B" w:rsidRPr="00A94015" w:rsidRDefault="00B96E3B" w:rsidP="00BE2853">
            <w:pPr>
              <w:pStyle w:val="Default"/>
              <w:jc w:val="both"/>
            </w:pPr>
            <w:r w:rsidRPr="00A94015">
              <w:rPr>
                <w:rFonts w:eastAsia="Times New Roman"/>
                <w:lang w:eastAsia="ru-RU"/>
              </w:rPr>
              <w:lastRenderedPageBreak/>
              <w:t>Государственная услуга оказывается бесплатно физическим и юридическим лицам.</w:t>
            </w:r>
          </w:p>
        </w:tc>
      </w:tr>
      <w:tr w:rsidR="00B96E3B" w:rsidRPr="00FC7552" w:rsidTr="00BE2853">
        <w:tblPrEx>
          <w:tblCellSpacing w:w="0" w:type="nil"/>
          <w:tblBorders>
            <w:top w:val="none" w:sz="0" w:space="0" w:color="auto"/>
            <w:left w:val="none" w:sz="0" w:space="0" w:color="auto"/>
            <w:bottom w:val="none" w:sz="0" w:space="0" w:color="auto"/>
            <w:right w:val="none" w:sz="0" w:space="0" w:color="auto"/>
          </w:tblBorders>
          <w:tblCellMar>
            <w:left w:w="0" w:type="dxa"/>
            <w:right w:w="0" w:type="dxa"/>
          </w:tblCellMar>
        </w:tblPrEx>
        <w:trPr>
          <w:trHeight w:val="2005"/>
        </w:trPr>
        <w:tc>
          <w:tcPr>
            <w:tcW w:w="64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B96E3B" w:rsidRPr="00A94015" w:rsidRDefault="00B96E3B" w:rsidP="00BE2853">
            <w:pPr>
              <w:pStyle w:val="a4"/>
              <w:spacing w:before="0" w:beforeAutospacing="0" w:after="0" w:afterAutospacing="0"/>
              <w:jc w:val="center"/>
            </w:pPr>
            <w:r w:rsidRPr="00A94015">
              <w:rPr>
                <w:rFonts w:eastAsia="Calibri"/>
                <w:color w:val="000000"/>
                <w:kern w:val="24"/>
              </w:rPr>
              <w:t>7.</w:t>
            </w:r>
          </w:p>
        </w:tc>
        <w:tc>
          <w:tcPr>
            <w:tcW w:w="2913"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B96E3B" w:rsidRPr="00A94015" w:rsidRDefault="00B96E3B" w:rsidP="00BE2853">
            <w:pPr>
              <w:pStyle w:val="a4"/>
              <w:spacing w:before="0" w:beforeAutospacing="0" w:after="0" w:afterAutospacing="0"/>
            </w:pPr>
            <w:r w:rsidRPr="00A94015">
              <w:rPr>
                <w:rFonts w:eastAsia="Calibri"/>
                <w:bCs/>
                <w:color w:val="000000"/>
                <w:kern w:val="24"/>
              </w:rPr>
              <w:t>График работы</w:t>
            </w:r>
          </w:p>
        </w:tc>
        <w:tc>
          <w:tcPr>
            <w:tcW w:w="6334"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B96E3B" w:rsidRPr="00A94015" w:rsidRDefault="00B96E3B" w:rsidP="00BE2853">
            <w:pPr>
              <w:jc w:val="both"/>
              <w:textAlignment w:val="baseline"/>
              <w:rPr>
                <w:color w:val="000000"/>
                <w:lang w:val="kk-KZ"/>
              </w:rPr>
            </w:pPr>
            <w:proofErr w:type="spellStart"/>
            <w:r w:rsidRPr="00A94015">
              <w:rPr>
                <w:color w:val="000000"/>
                <w:spacing w:val="2"/>
                <w:kern w:val="24"/>
              </w:rPr>
              <w:t>Услугодателя</w:t>
            </w:r>
            <w:proofErr w:type="spellEnd"/>
            <w:r w:rsidRPr="00A94015">
              <w:rPr>
                <w:color w:val="000000"/>
                <w:spacing w:val="2"/>
                <w:kern w:val="24"/>
              </w:rPr>
              <w:t xml:space="preserve"> -</w:t>
            </w:r>
            <w:r w:rsidRPr="00A94015">
              <w:rPr>
                <w:color w:val="000000"/>
                <w:lang w:val="kk-KZ"/>
              </w:rPr>
              <w:t xml:space="preserve"> </w:t>
            </w:r>
            <w:r w:rsidRPr="00A94015">
              <w:rPr>
                <w:color w:val="000000"/>
                <w:spacing w:val="2"/>
                <w:kern w:val="24"/>
              </w:rPr>
              <w:t>с понедельника по пятницу, в соответствии с установленным графиком работы с 9.00 до 18.30 часов, за исключением выходных и праздничных дней, согласно Трудовому кодексу Республики Казахстан от 23 ноября 2015 года с перерывом на обед с 13.00 часов до 14.30 часов;</w:t>
            </w:r>
          </w:p>
          <w:p w:rsidR="00B96E3B" w:rsidRPr="00A94015" w:rsidRDefault="00B96E3B" w:rsidP="00BE2853">
            <w:pPr>
              <w:jc w:val="both"/>
              <w:textAlignment w:val="baseline"/>
              <w:rPr>
                <w:color w:val="000000"/>
                <w:kern w:val="24"/>
                <w:lang w:val="kk-KZ"/>
              </w:rPr>
            </w:pPr>
            <w:r w:rsidRPr="00A94015">
              <w:rPr>
                <w:spacing w:val="2"/>
                <w:lang w:val="kk-KZ"/>
              </w:rPr>
              <w:t>П</w:t>
            </w:r>
            <w:proofErr w:type="spellStart"/>
            <w:r w:rsidRPr="00A94015">
              <w:rPr>
                <w:spacing w:val="2"/>
              </w:rPr>
              <w:t>ортала</w:t>
            </w:r>
            <w:proofErr w:type="spellEnd"/>
            <w:r w:rsidRPr="00A94015">
              <w:rPr>
                <w:spacing w:val="2"/>
              </w:rPr>
              <w:t xml:space="preserve"> либо информационной системы</w:t>
            </w:r>
            <w:r w:rsidRPr="00A94015">
              <w:rPr>
                <w:color w:val="000000"/>
                <w:kern w:val="24"/>
                <w:lang w:val="kk-KZ"/>
              </w:rPr>
              <w:t xml:space="preserve"> - </w:t>
            </w:r>
            <w:r w:rsidRPr="00A94015">
              <w:rPr>
                <w:color w:val="000000"/>
                <w:kern w:val="24"/>
              </w:rPr>
              <w:t xml:space="preserve">круглосуточно, за исключением технических перерывов, связанных с проведением ремонтных работ (при обращении </w:t>
            </w:r>
            <w:proofErr w:type="spellStart"/>
            <w:r w:rsidRPr="00A94015">
              <w:rPr>
                <w:color w:val="000000"/>
                <w:kern w:val="24"/>
              </w:rPr>
              <w:t>услугодателю</w:t>
            </w:r>
            <w:proofErr w:type="spellEnd"/>
            <w:r w:rsidRPr="00A94015">
              <w:rPr>
                <w:color w:val="000000"/>
                <w:kern w:val="24"/>
              </w:rPr>
              <w:t xml:space="preserve">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p w:rsidR="00B96E3B" w:rsidRPr="00A94015" w:rsidRDefault="00B96E3B" w:rsidP="00BE2853">
            <w:pPr>
              <w:jc w:val="both"/>
              <w:textAlignment w:val="baseline"/>
            </w:pPr>
            <w:r w:rsidRPr="00A94015">
              <w:t xml:space="preserve">Контактные телефоны справочных служб </w:t>
            </w:r>
            <w:proofErr w:type="spellStart"/>
            <w:r w:rsidRPr="00A94015">
              <w:t>услугодателя</w:t>
            </w:r>
            <w:proofErr w:type="spellEnd"/>
            <w:r w:rsidRPr="00A94015">
              <w:t xml:space="preserve"> по вопросам оказания государственной услуги: 8 (727) </w:t>
            </w:r>
            <w:r w:rsidRPr="00A94015">
              <w:rPr>
                <w:lang w:val="kk-KZ"/>
              </w:rPr>
              <w:t>3</w:t>
            </w:r>
            <w:r w:rsidRPr="00A94015">
              <w:t>78-05-67,</w:t>
            </w:r>
            <w:r w:rsidRPr="00A94015">
              <w:rPr>
                <w:lang w:val="kk-KZ"/>
              </w:rPr>
              <w:t xml:space="preserve"> </w:t>
            </w:r>
            <w:r w:rsidRPr="00A94015">
              <w:t>978-05-09.</w:t>
            </w:r>
          </w:p>
        </w:tc>
      </w:tr>
      <w:tr w:rsidR="00B96E3B" w:rsidRPr="00FC7552" w:rsidTr="00BE2853">
        <w:tblPrEx>
          <w:tblCellSpacing w:w="0" w:type="nil"/>
          <w:tblBorders>
            <w:top w:val="none" w:sz="0" w:space="0" w:color="auto"/>
            <w:left w:val="none" w:sz="0" w:space="0" w:color="auto"/>
            <w:bottom w:val="none" w:sz="0" w:space="0" w:color="auto"/>
            <w:right w:val="none" w:sz="0" w:space="0" w:color="auto"/>
          </w:tblBorders>
          <w:tblCellMar>
            <w:left w:w="0" w:type="dxa"/>
            <w:right w:w="0" w:type="dxa"/>
          </w:tblCellMar>
        </w:tblPrEx>
        <w:trPr>
          <w:trHeight w:val="857"/>
        </w:trPr>
        <w:tc>
          <w:tcPr>
            <w:tcW w:w="64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B96E3B" w:rsidRPr="00A94015" w:rsidRDefault="00B96E3B" w:rsidP="00BE2853">
            <w:pPr>
              <w:pStyle w:val="a4"/>
              <w:spacing w:before="0" w:beforeAutospacing="0" w:after="0" w:afterAutospacing="0"/>
              <w:jc w:val="center"/>
            </w:pPr>
            <w:r w:rsidRPr="00A94015">
              <w:rPr>
                <w:rFonts w:eastAsia="Calibri"/>
                <w:color w:val="000000"/>
                <w:kern w:val="24"/>
              </w:rPr>
              <w:t>8.</w:t>
            </w:r>
          </w:p>
        </w:tc>
        <w:tc>
          <w:tcPr>
            <w:tcW w:w="2913"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B96E3B" w:rsidRPr="00A94015" w:rsidRDefault="00B96E3B" w:rsidP="00BE2853">
            <w:pPr>
              <w:pStyle w:val="a4"/>
              <w:spacing w:before="0" w:beforeAutospacing="0" w:after="0" w:afterAutospacing="0"/>
            </w:pPr>
            <w:r w:rsidRPr="00A94015">
              <w:rPr>
                <w:rFonts w:eastAsia="Calibri"/>
                <w:bCs/>
                <w:color w:val="000000"/>
                <w:kern w:val="24"/>
              </w:rPr>
              <w:t>Перечень документов</w:t>
            </w:r>
            <w:r w:rsidRPr="00A94015">
              <w:t xml:space="preserve"> необходимых для оказания государственной услуги</w:t>
            </w:r>
          </w:p>
        </w:tc>
        <w:tc>
          <w:tcPr>
            <w:tcW w:w="6334"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B96E3B" w:rsidRPr="00A94015" w:rsidRDefault="00B96E3B" w:rsidP="00BE2853">
            <w:pPr>
              <w:jc w:val="both"/>
              <w:rPr>
                <w:color w:val="000000"/>
              </w:rPr>
            </w:pPr>
            <w:r w:rsidRPr="00A94015">
              <w:rPr>
                <w:color w:val="000000"/>
              </w:rPr>
              <w:t>1) на научный, научно-технический проект, финансируемый из государственного бюджета, - регистрационную карту по форме согласно приложению 3;</w:t>
            </w:r>
          </w:p>
          <w:p w:rsidR="00B96E3B" w:rsidRPr="00A94015" w:rsidRDefault="00B96E3B" w:rsidP="00BE2853">
            <w:pPr>
              <w:jc w:val="both"/>
              <w:rPr>
                <w:color w:val="000000"/>
              </w:rPr>
            </w:pPr>
            <w:r w:rsidRPr="00A94015">
              <w:rPr>
                <w:color w:val="000000"/>
              </w:rPr>
              <w:t>2) на научную, научно-техническую программу, финансируемую из государственного бюджета, следующие приложения:</w:t>
            </w:r>
          </w:p>
          <w:p w:rsidR="00B96E3B" w:rsidRPr="00A94015" w:rsidRDefault="00B96E3B" w:rsidP="00BE2853">
            <w:pPr>
              <w:jc w:val="both"/>
              <w:rPr>
                <w:color w:val="000000"/>
              </w:rPr>
            </w:pPr>
            <w:r w:rsidRPr="00A94015">
              <w:rPr>
                <w:color w:val="000000"/>
              </w:rPr>
              <w:t>2-1) форма Ф1 – унифицированная «Показатели развернутой научной, научно-технической программы» согласно приложению 4;</w:t>
            </w:r>
          </w:p>
          <w:p w:rsidR="00B96E3B" w:rsidRPr="00A94015" w:rsidRDefault="00B96E3B" w:rsidP="00BE2853">
            <w:pPr>
              <w:jc w:val="both"/>
              <w:rPr>
                <w:color w:val="000000"/>
              </w:rPr>
            </w:pPr>
            <w:r w:rsidRPr="00A94015">
              <w:rPr>
                <w:color w:val="000000"/>
              </w:rPr>
              <w:t>2-2) титульный лист к форме Ф1 – унифицированная «Показатели развернутой научной научно-технической программы», согласно приложению 5;</w:t>
            </w:r>
          </w:p>
          <w:p w:rsidR="00B96E3B" w:rsidRPr="00A94015" w:rsidRDefault="00B96E3B" w:rsidP="00BE2853">
            <w:pPr>
              <w:jc w:val="both"/>
              <w:rPr>
                <w:color w:val="000000"/>
              </w:rPr>
            </w:pPr>
            <w:r w:rsidRPr="00A94015">
              <w:rPr>
                <w:color w:val="000000"/>
              </w:rPr>
              <w:t>2-3) пояснительная записка, подписанная руководителем научной, научно-технической программы;</w:t>
            </w:r>
          </w:p>
          <w:p w:rsidR="00B96E3B" w:rsidRPr="00A94015" w:rsidRDefault="00B96E3B" w:rsidP="00BE2853">
            <w:pPr>
              <w:jc w:val="both"/>
              <w:rPr>
                <w:color w:val="000000"/>
              </w:rPr>
            </w:pPr>
            <w:r w:rsidRPr="00A94015">
              <w:rPr>
                <w:color w:val="000000"/>
              </w:rPr>
              <w:t>2-4) документ, подтверждающий объем бюджетных средств, выделенных на выполнение заданий (этапов) программы в текущем году, подписанный руководителем научной, научно-технической программы;</w:t>
            </w:r>
          </w:p>
          <w:p w:rsidR="00B96E3B" w:rsidRPr="00A94015" w:rsidRDefault="00B96E3B" w:rsidP="00BE2853">
            <w:pPr>
              <w:jc w:val="both"/>
              <w:rPr>
                <w:color w:val="000000"/>
              </w:rPr>
            </w:pPr>
            <w:r w:rsidRPr="00A94015">
              <w:rPr>
                <w:color w:val="000000"/>
              </w:rPr>
              <w:t>2-5) форма Ф1 - корректировка «Показатели развернутой научной, научно-технической программы» согласно приложению 6;</w:t>
            </w:r>
          </w:p>
          <w:p w:rsidR="00B96E3B" w:rsidRPr="00A94015" w:rsidRDefault="00B96E3B" w:rsidP="00BE2853">
            <w:pPr>
              <w:jc w:val="both"/>
              <w:rPr>
                <w:color w:val="000000"/>
              </w:rPr>
            </w:pPr>
            <w:r w:rsidRPr="00A94015">
              <w:rPr>
                <w:color w:val="000000"/>
              </w:rPr>
              <w:t>2-6) отчет (годовой) о выполнении заданий, этапов работ по научной, научно-технической программе согласно приложению 7;</w:t>
            </w:r>
          </w:p>
          <w:p w:rsidR="00B96E3B" w:rsidRPr="00A94015" w:rsidRDefault="00B96E3B" w:rsidP="00BE2853">
            <w:pPr>
              <w:jc w:val="both"/>
              <w:rPr>
                <w:color w:val="000000"/>
              </w:rPr>
            </w:pPr>
            <w:r w:rsidRPr="00A94015">
              <w:rPr>
                <w:color w:val="000000"/>
              </w:rPr>
              <w:t>2-7) сведения о ходе выполнения заданий, этапов работ организациями, участвующими в выполнении научной, научно-технической программы согласно приложению 8;</w:t>
            </w:r>
          </w:p>
          <w:p w:rsidR="00B96E3B" w:rsidRPr="00A94015" w:rsidRDefault="00B96E3B" w:rsidP="00BE2853">
            <w:pPr>
              <w:jc w:val="both"/>
              <w:rPr>
                <w:color w:val="000000"/>
              </w:rPr>
            </w:pPr>
            <w:r w:rsidRPr="00A94015">
              <w:rPr>
                <w:color w:val="000000"/>
              </w:rPr>
              <w:t xml:space="preserve">3) отчет по выполнению научного, научно-технического проекта/программы, </w:t>
            </w:r>
            <w:proofErr w:type="spellStart"/>
            <w:r w:rsidRPr="00A94015">
              <w:rPr>
                <w:color w:val="000000"/>
              </w:rPr>
              <w:t>оформл</w:t>
            </w:r>
            <w:proofErr w:type="spellEnd"/>
            <w:r w:rsidRPr="00A94015">
              <w:rPr>
                <w:color w:val="000000"/>
                <w:lang w:val="kk-KZ"/>
              </w:rPr>
              <w:t>енный</w:t>
            </w:r>
            <w:r w:rsidRPr="00A94015">
              <w:rPr>
                <w:color w:val="000000"/>
              </w:rPr>
              <w:t xml:space="preserve"> в соответствии с Межгосударственным стандартом</w:t>
            </w:r>
            <w:r w:rsidRPr="00A94015">
              <w:t xml:space="preserve"> ГОСТ 7.32-2017 </w:t>
            </w:r>
            <w:r w:rsidRPr="00A94015">
              <w:rPr>
                <w:color w:val="000000"/>
              </w:rPr>
              <w:t xml:space="preserve">«Отчет о </w:t>
            </w:r>
            <w:r w:rsidRPr="00A94015">
              <w:rPr>
                <w:color w:val="000000"/>
              </w:rPr>
              <w:lastRenderedPageBreak/>
              <w:t xml:space="preserve">научно-исследовательской работе», с информационной картой по форме согласно приложению 9; </w:t>
            </w:r>
          </w:p>
          <w:p w:rsidR="00B96E3B" w:rsidRPr="00A94015" w:rsidRDefault="00B96E3B" w:rsidP="00BE2853">
            <w:pPr>
              <w:jc w:val="both"/>
              <w:rPr>
                <w:color w:val="000000"/>
              </w:rPr>
            </w:pPr>
            <w:r w:rsidRPr="00A94015">
              <w:rPr>
                <w:color w:val="000000"/>
              </w:rPr>
              <w:t>4) результат научной и (или) научно-технической деятельности оформленный в виде заявки на регистрацию результата научной и (или) научно-технической деятельности по форме согласно приложению 10 и формы по учету сведений о результатах научной и (или) научно-технической деятельности согласно приложению 11; с предоставлением (при необходимости): извещения об изменении сведений о результатах научной и (или) научно-технической деятельности согласно приложению 12; сведения об использовании результата научной и (или) научно-технической деятельности по форме согласно приложению 13; извещения</w:t>
            </w:r>
            <w:r w:rsidRPr="00A94015">
              <w:t xml:space="preserve"> </w:t>
            </w:r>
            <w:r w:rsidRPr="00A94015">
              <w:rPr>
                <w:color w:val="000000"/>
              </w:rPr>
              <w:t>об исключении результата научной и (или) научно-технической деятельности из государственного реестра РННТД согласно приложению 14.</w:t>
            </w:r>
          </w:p>
        </w:tc>
      </w:tr>
      <w:tr w:rsidR="00B96E3B" w:rsidRPr="00FC7552" w:rsidTr="00BE2853">
        <w:tblPrEx>
          <w:tblCellSpacing w:w="0" w:type="nil"/>
          <w:tblBorders>
            <w:top w:val="none" w:sz="0" w:space="0" w:color="auto"/>
            <w:left w:val="none" w:sz="0" w:space="0" w:color="auto"/>
            <w:bottom w:val="none" w:sz="0" w:space="0" w:color="auto"/>
            <w:right w:val="none" w:sz="0" w:space="0" w:color="auto"/>
          </w:tblBorders>
          <w:tblCellMar>
            <w:left w:w="0" w:type="dxa"/>
            <w:right w:w="0" w:type="dxa"/>
          </w:tblCellMar>
        </w:tblPrEx>
        <w:trPr>
          <w:trHeight w:val="391"/>
        </w:trPr>
        <w:tc>
          <w:tcPr>
            <w:tcW w:w="64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B96E3B" w:rsidRPr="00A94015" w:rsidRDefault="00B96E3B" w:rsidP="00BE2853">
            <w:pPr>
              <w:pStyle w:val="a4"/>
              <w:spacing w:before="0" w:beforeAutospacing="0" w:after="0" w:afterAutospacing="0"/>
              <w:jc w:val="both"/>
              <w:rPr>
                <w:rFonts w:eastAsia="Calibri"/>
                <w:color w:val="000000"/>
                <w:kern w:val="24"/>
              </w:rPr>
            </w:pPr>
            <w:r w:rsidRPr="00A94015">
              <w:rPr>
                <w:rFonts w:eastAsia="Calibri"/>
                <w:color w:val="000000"/>
                <w:kern w:val="24"/>
              </w:rPr>
              <w:lastRenderedPageBreak/>
              <w:t>9.</w:t>
            </w:r>
          </w:p>
        </w:tc>
        <w:tc>
          <w:tcPr>
            <w:tcW w:w="2913"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B96E3B" w:rsidRPr="00A94015" w:rsidRDefault="00B96E3B" w:rsidP="00BE2853">
            <w:pPr>
              <w:pStyle w:val="a4"/>
              <w:spacing w:before="0" w:beforeAutospacing="0" w:after="0" w:afterAutospacing="0"/>
              <w:rPr>
                <w:rFonts w:eastAsia="Calibri"/>
                <w:bCs/>
                <w:color w:val="000000"/>
                <w:kern w:val="24"/>
              </w:rPr>
            </w:pPr>
            <w:r w:rsidRPr="00A94015">
              <w:rPr>
                <w:rFonts w:eastAsia="Calibri"/>
                <w:bCs/>
                <w:color w:val="000000"/>
                <w:kern w:val="24"/>
              </w:rPr>
              <w:t>Основания для отказа в оказании государственной услуги, установленные законодательством Республики Казахстан</w:t>
            </w:r>
          </w:p>
        </w:tc>
        <w:tc>
          <w:tcPr>
            <w:tcW w:w="6334"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B96E3B" w:rsidRPr="00A94015" w:rsidRDefault="00B96E3B" w:rsidP="00BE2853">
            <w:pPr>
              <w:pStyle w:val="a4"/>
              <w:spacing w:before="0" w:beforeAutospacing="0" w:after="0" w:afterAutospacing="0"/>
              <w:jc w:val="both"/>
            </w:pPr>
            <w:r w:rsidRPr="00A94015">
              <w:t xml:space="preserve">1) установление недостоверности документов, представленных </w:t>
            </w:r>
            <w:proofErr w:type="spellStart"/>
            <w:r w:rsidRPr="00A94015">
              <w:rPr>
                <w:color w:val="000000"/>
              </w:rPr>
              <w:t>услугополучателем</w:t>
            </w:r>
            <w:proofErr w:type="spellEnd"/>
            <w:r w:rsidRPr="00A94015">
              <w:rPr>
                <w:color w:val="000000"/>
              </w:rPr>
              <w:t xml:space="preserve"> </w:t>
            </w:r>
            <w:r w:rsidRPr="00A94015">
              <w:t>для получения государственной услуги, и (или) данных (сведений), содержащихся в них;</w:t>
            </w:r>
          </w:p>
          <w:p w:rsidR="00B96E3B" w:rsidRPr="00A94015" w:rsidRDefault="00B96E3B" w:rsidP="00BE2853">
            <w:pPr>
              <w:pStyle w:val="a4"/>
              <w:spacing w:before="0" w:beforeAutospacing="0" w:after="0" w:afterAutospacing="0"/>
              <w:jc w:val="both"/>
            </w:pPr>
            <w:r w:rsidRPr="00A94015">
              <w:t xml:space="preserve">2) несоответствие </w:t>
            </w:r>
            <w:proofErr w:type="spellStart"/>
            <w:r w:rsidRPr="00A94015">
              <w:rPr>
                <w:color w:val="000000"/>
              </w:rPr>
              <w:t>услугополучателя</w:t>
            </w:r>
            <w:proofErr w:type="spellEnd"/>
            <w:r w:rsidRPr="00A94015">
              <w:rPr>
                <w:color w:val="000000"/>
              </w:rPr>
              <w:t xml:space="preserve"> </w:t>
            </w:r>
            <w:r w:rsidRPr="00A94015">
              <w:t>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rsidR="00B96E3B" w:rsidRPr="00A94015" w:rsidRDefault="00B96E3B" w:rsidP="00BE2853">
            <w:pPr>
              <w:pStyle w:val="a4"/>
              <w:spacing w:before="0" w:beforeAutospacing="0" w:after="0" w:afterAutospacing="0"/>
              <w:jc w:val="both"/>
              <w:rPr>
                <w:color w:val="000000"/>
              </w:rPr>
            </w:pPr>
            <w:r w:rsidRPr="00A94015">
              <w:t>3)</w:t>
            </w:r>
            <w:r w:rsidRPr="00A94015">
              <w:rPr>
                <w:color w:val="000000"/>
              </w:rPr>
              <w:t xml:space="preserve"> установление предоставления неполного пакета документов и ненадлежащего их оформления;</w:t>
            </w:r>
          </w:p>
          <w:p w:rsidR="00B96E3B" w:rsidRPr="00A94015" w:rsidRDefault="00B96E3B" w:rsidP="00BE2853">
            <w:pPr>
              <w:pStyle w:val="a4"/>
              <w:spacing w:before="0" w:beforeAutospacing="0" w:after="0" w:afterAutospacing="0"/>
              <w:jc w:val="both"/>
            </w:pPr>
            <w:r w:rsidRPr="00A94015">
              <w:t>4) Законами Республики Казахстан могут устанавливаться иные основания для отказа в оказании государственных услуг;</w:t>
            </w:r>
          </w:p>
          <w:p w:rsidR="00B96E3B" w:rsidRPr="00A94015" w:rsidRDefault="00B96E3B" w:rsidP="00BE2853">
            <w:pPr>
              <w:tabs>
                <w:tab w:val="left" w:pos="328"/>
                <w:tab w:val="left" w:pos="567"/>
              </w:tabs>
              <w:jc w:val="both"/>
            </w:pPr>
            <w:r w:rsidRPr="00A94015">
              <w:t xml:space="preserve">5) вступившее в законную силу решение (приговор) суда в отношении </w:t>
            </w:r>
            <w:proofErr w:type="spellStart"/>
            <w:r w:rsidRPr="00A94015">
              <w:t>услугополучателя</w:t>
            </w:r>
            <w:proofErr w:type="spellEnd"/>
            <w:r w:rsidRPr="00A94015">
              <w:t xml:space="preserve"> о запрещении деятельности или отдельных видов деятельности, требующих получения государственной услуги.</w:t>
            </w:r>
          </w:p>
        </w:tc>
      </w:tr>
      <w:tr w:rsidR="00B96E3B" w:rsidRPr="00FC7552" w:rsidTr="00BE2853">
        <w:tblPrEx>
          <w:tblCellSpacing w:w="0" w:type="nil"/>
          <w:tblBorders>
            <w:top w:val="none" w:sz="0" w:space="0" w:color="auto"/>
            <w:left w:val="none" w:sz="0" w:space="0" w:color="auto"/>
            <w:bottom w:val="none" w:sz="0" w:space="0" w:color="auto"/>
            <w:right w:val="none" w:sz="0" w:space="0" w:color="auto"/>
          </w:tblBorders>
          <w:tblCellMar>
            <w:left w:w="0" w:type="dxa"/>
            <w:right w:w="0" w:type="dxa"/>
          </w:tblCellMar>
        </w:tblPrEx>
        <w:trPr>
          <w:trHeight w:val="247"/>
        </w:trPr>
        <w:tc>
          <w:tcPr>
            <w:tcW w:w="64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B96E3B" w:rsidRPr="00A94015" w:rsidRDefault="00B96E3B" w:rsidP="00BE2853">
            <w:pPr>
              <w:pStyle w:val="a4"/>
              <w:spacing w:before="0" w:beforeAutospacing="0" w:after="0" w:afterAutospacing="0"/>
              <w:jc w:val="both"/>
            </w:pPr>
            <w:r w:rsidRPr="00A94015">
              <w:rPr>
                <w:rFonts w:eastAsia="Calibri"/>
                <w:color w:val="000000"/>
                <w:kern w:val="24"/>
              </w:rPr>
              <w:t>10.</w:t>
            </w:r>
          </w:p>
        </w:tc>
        <w:tc>
          <w:tcPr>
            <w:tcW w:w="2913"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B96E3B" w:rsidRPr="00A94015" w:rsidRDefault="00B96E3B" w:rsidP="00BE2853">
            <w:pPr>
              <w:tabs>
                <w:tab w:val="left" w:pos="0"/>
              </w:tabs>
              <w:ind w:left="-376" w:firstLine="376"/>
              <w:jc w:val="center"/>
            </w:pPr>
            <w:r w:rsidRPr="00A94015">
              <w:t>Иные требования с учетом особенностей оказания</w:t>
            </w:r>
          </w:p>
          <w:p w:rsidR="00B96E3B" w:rsidRPr="00A94015" w:rsidRDefault="00B96E3B" w:rsidP="00BE2853">
            <w:pPr>
              <w:pStyle w:val="a4"/>
              <w:spacing w:before="0" w:beforeAutospacing="0" w:after="0" w:afterAutospacing="0"/>
              <w:jc w:val="center"/>
            </w:pPr>
            <w:r w:rsidRPr="00A94015">
              <w:t>государственной услуги</w:t>
            </w:r>
          </w:p>
        </w:tc>
        <w:tc>
          <w:tcPr>
            <w:tcW w:w="6334" w:type="dxa"/>
            <w:tcBorders>
              <w:top w:val="single" w:sz="8" w:space="0" w:color="000000"/>
              <w:left w:val="single" w:sz="8" w:space="0" w:color="000000"/>
              <w:bottom w:val="single" w:sz="8" w:space="0" w:color="000000"/>
              <w:right w:val="single" w:sz="8" w:space="0" w:color="000000"/>
            </w:tcBorders>
            <w:shd w:val="clear" w:color="auto" w:fill="auto"/>
            <w:tcMar>
              <w:top w:w="15" w:type="dxa"/>
              <w:left w:w="77" w:type="dxa"/>
              <w:bottom w:w="0" w:type="dxa"/>
              <w:right w:w="77" w:type="dxa"/>
            </w:tcMar>
            <w:hideMark/>
          </w:tcPr>
          <w:p w:rsidR="00B96E3B" w:rsidRPr="00A94015" w:rsidRDefault="00B96E3B" w:rsidP="00BE2853">
            <w:pPr>
              <w:pStyle w:val="a4"/>
              <w:spacing w:before="0" w:beforeAutospacing="0" w:after="0" w:afterAutospacing="0"/>
              <w:jc w:val="both"/>
              <w:textAlignment w:val="baseline"/>
            </w:pPr>
            <w:proofErr w:type="spellStart"/>
            <w:r w:rsidRPr="00A94015">
              <w:t>Услугополучатель</w:t>
            </w:r>
            <w:proofErr w:type="spellEnd"/>
            <w:r w:rsidRPr="00A94015">
              <w:t xml:space="preserve"> имеет возможность получения государственной услуги в электронной форме через информационную систему и портал при условии наличия электронной цифровой подписи. </w:t>
            </w:r>
            <w:r w:rsidRPr="00A94015">
              <w:rPr>
                <w:lang w:val="kk-KZ"/>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либо информационной системы, справочных служб услугодателя, а также Единого контакт-центра «1414», 8-800-080-7777.</w:t>
            </w:r>
          </w:p>
        </w:tc>
      </w:tr>
    </w:tbl>
    <w:p w:rsidR="00B96E3B" w:rsidRPr="00FC7552" w:rsidRDefault="00B96E3B" w:rsidP="00B96E3B">
      <w:pPr>
        <w:ind w:firstLine="397"/>
        <w:jc w:val="right"/>
        <w:rPr>
          <w:rStyle w:val="s0"/>
          <w:sz w:val="28"/>
          <w:szCs w:val="28"/>
        </w:rPr>
      </w:pPr>
    </w:p>
    <w:p w:rsidR="00B96E3B" w:rsidRPr="00FC7552" w:rsidRDefault="00B96E3B" w:rsidP="00B96E3B">
      <w:pPr>
        <w:ind w:firstLine="397"/>
        <w:jc w:val="right"/>
        <w:rPr>
          <w:rStyle w:val="s0"/>
          <w:sz w:val="28"/>
          <w:szCs w:val="28"/>
        </w:rPr>
      </w:pPr>
    </w:p>
    <w:p w:rsidR="00B96E3B" w:rsidRPr="00FC7552" w:rsidRDefault="00B96E3B" w:rsidP="00B96E3B">
      <w:pPr>
        <w:ind w:firstLine="397"/>
        <w:jc w:val="right"/>
        <w:rPr>
          <w:rStyle w:val="s0"/>
          <w:sz w:val="28"/>
          <w:szCs w:val="28"/>
        </w:rPr>
      </w:pPr>
    </w:p>
    <w:p w:rsidR="00CF086D" w:rsidRDefault="00CF086D"/>
    <w:sectPr w:rsidR="00CF08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E3B"/>
    <w:rsid w:val="00B96E3B"/>
    <w:rsid w:val="00CF08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B44B43-AAE4-415B-A2BA-C2CDD045F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E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96E3B"/>
    <w:rPr>
      <w:rFonts w:ascii="Consolas" w:eastAsia="Consolas" w:hAnsi="Consolas" w:cs="Consolas"/>
    </w:rPr>
  </w:style>
  <w:style w:type="paragraph" w:styleId="a4">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Знак4"/>
    <w:basedOn w:val="a"/>
    <w:link w:val="a5"/>
    <w:uiPriority w:val="99"/>
    <w:unhideWhenUsed/>
    <w:qFormat/>
    <w:rsid w:val="00B96E3B"/>
    <w:pPr>
      <w:spacing w:before="100" w:beforeAutospacing="1" w:after="100" w:afterAutospacing="1"/>
    </w:pPr>
  </w:style>
  <w:style w:type="character" w:customStyle="1" w:styleId="a5">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4"/>
    <w:uiPriority w:val="99"/>
    <w:locked/>
    <w:rsid w:val="00B96E3B"/>
    <w:rPr>
      <w:rFonts w:ascii="Times New Roman" w:eastAsia="Times New Roman" w:hAnsi="Times New Roman" w:cs="Times New Roman"/>
      <w:sz w:val="24"/>
      <w:szCs w:val="24"/>
      <w:lang w:eastAsia="ru-RU"/>
    </w:rPr>
  </w:style>
  <w:style w:type="paragraph" w:customStyle="1" w:styleId="Default">
    <w:name w:val="Default"/>
    <w:rsid w:val="00B96E3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6">
    <w:name w:val="List Paragraph"/>
    <w:basedOn w:val="a"/>
    <w:uiPriority w:val="34"/>
    <w:qFormat/>
    <w:rsid w:val="00B96E3B"/>
    <w:pPr>
      <w:spacing w:after="200" w:line="276" w:lineRule="auto"/>
      <w:ind w:left="720"/>
      <w:contextualSpacing/>
    </w:pPr>
    <w:rPr>
      <w:rFonts w:ascii="Consolas" w:eastAsia="Consolas" w:hAnsi="Consolas" w:cs="Consolas"/>
      <w:sz w:val="22"/>
      <w:szCs w:val="22"/>
      <w:lang w:val="en-US" w:eastAsia="en-US"/>
    </w:rPr>
  </w:style>
  <w:style w:type="character" w:customStyle="1" w:styleId="s0">
    <w:name w:val="s0"/>
    <w:rsid w:val="00B96E3B"/>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s.ncste.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980</Words>
  <Characters>5587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User8</dc:creator>
  <cp:keywords/>
  <dc:description/>
  <cp:lastModifiedBy>User8</cp:lastModifiedBy>
  <cp:revision>1</cp:revision>
  <dcterms:created xsi:type="dcterms:W3CDTF">2020-08-07T09:13:00Z</dcterms:created>
  <dcterms:modified xsi:type="dcterms:W3CDTF">2020-08-07T09:13:00Z</dcterms:modified>
</cp:coreProperties>
</file>