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3.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4.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5.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E00" w:rsidRPr="00911CCD" w:rsidRDefault="000D2E00" w:rsidP="00911CCD">
      <w:pPr>
        <w:pStyle w:val="1"/>
        <w:jc w:val="center"/>
        <w:rPr>
          <w:rFonts w:ascii="Times New Roman" w:hAnsi="Times New Roman" w:cs="Times New Roman"/>
          <w:b w:val="0"/>
          <w:color w:val="auto"/>
          <w:lang w:val="en-US"/>
        </w:rPr>
      </w:pPr>
      <w:r w:rsidRPr="00911CCD">
        <w:rPr>
          <w:rFonts w:ascii="Times New Roman" w:hAnsi="Times New Roman" w:cs="Times New Roman"/>
          <w:b w:val="0"/>
          <w:color w:val="auto"/>
          <w:lang w:val="en-US"/>
        </w:rPr>
        <w:t>Ministry of Agriculture of the Republic of Kazakhstan</w:t>
      </w:r>
    </w:p>
    <w:p w:rsidR="000D2E00" w:rsidRPr="00911CCD" w:rsidRDefault="000D2E00" w:rsidP="00141BED">
      <w:pPr>
        <w:spacing w:after="0" w:line="360" w:lineRule="auto"/>
        <w:jc w:val="center"/>
        <w:rPr>
          <w:rFonts w:ascii="Times New Roman" w:hAnsi="Times New Roman"/>
          <w:sz w:val="28"/>
          <w:szCs w:val="28"/>
          <w:lang w:val="en-US"/>
        </w:rPr>
      </w:pPr>
      <w:r w:rsidRPr="00911CCD">
        <w:rPr>
          <w:rFonts w:ascii="Times New Roman" w:hAnsi="Times New Roman"/>
          <w:sz w:val="28"/>
          <w:szCs w:val="28"/>
          <w:lang w:val="en-US"/>
        </w:rPr>
        <w:t xml:space="preserve">LLP "KAZAKH </w:t>
      </w:r>
      <w:proofErr w:type="gramStart"/>
      <w:r w:rsidRPr="00911CCD">
        <w:rPr>
          <w:rFonts w:ascii="Times New Roman" w:hAnsi="Times New Roman"/>
          <w:sz w:val="28"/>
          <w:szCs w:val="28"/>
          <w:lang w:val="en-US"/>
        </w:rPr>
        <w:t>RESEARCH</w:t>
      </w:r>
      <w:r w:rsidR="001A19D3" w:rsidRPr="00911CCD">
        <w:rPr>
          <w:rFonts w:ascii="Times New Roman" w:hAnsi="Times New Roman"/>
          <w:sz w:val="28"/>
          <w:szCs w:val="28"/>
          <w:lang w:val="en-US"/>
        </w:rPr>
        <w:t xml:space="preserve"> </w:t>
      </w:r>
      <w:r w:rsidRPr="00911CCD">
        <w:rPr>
          <w:rFonts w:ascii="Times New Roman" w:hAnsi="Times New Roman"/>
          <w:sz w:val="28"/>
          <w:szCs w:val="28"/>
          <w:lang w:val="en-US"/>
        </w:rPr>
        <w:t xml:space="preserve"> INSTITUTE</w:t>
      </w:r>
      <w:proofErr w:type="gramEnd"/>
      <w:r w:rsidRPr="00911CCD">
        <w:rPr>
          <w:rFonts w:ascii="Times New Roman" w:hAnsi="Times New Roman"/>
          <w:sz w:val="28"/>
          <w:szCs w:val="28"/>
          <w:lang w:val="en-US"/>
        </w:rPr>
        <w:t xml:space="preserve"> OF FORESTRY AND AGROFORESTRY </w:t>
      </w:r>
      <w:r w:rsidR="008035C8" w:rsidRPr="00911CCD">
        <w:rPr>
          <w:rFonts w:ascii="Times New Roman" w:hAnsi="Times New Roman"/>
          <w:sz w:val="28"/>
          <w:szCs w:val="28"/>
          <w:lang w:val="en-US"/>
        </w:rPr>
        <w:t xml:space="preserve">NAMED AFTER A.N. BUKEIKHAN" </w:t>
      </w:r>
    </w:p>
    <w:p w:rsidR="001A19D3" w:rsidRPr="001A19D3" w:rsidRDefault="001A19D3" w:rsidP="00141BED">
      <w:pPr>
        <w:spacing w:after="0" w:line="360" w:lineRule="auto"/>
        <w:jc w:val="center"/>
        <w:rPr>
          <w:rFonts w:ascii="Times New Roman" w:hAnsi="Times New Roman"/>
          <w:sz w:val="24"/>
          <w:szCs w:val="24"/>
          <w:lang w:val="en-US"/>
        </w:rPr>
      </w:pPr>
    </w:p>
    <w:tbl>
      <w:tblPr>
        <w:tblW w:w="0" w:type="auto"/>
        <w:tblInd w:w="-127" w:type="dxa"/>
        <w:tblLook w:val="0000" w:firstRow="0" w:lastRow="0" w:firstColumn="0" w:lastColumn="0" w:noHBand="0" w:noVBand="0"/>
      </w:tblPr>
      <w:tblGrid>
        <w:gridCol w:w="4826"/>
        <w:gridCol w:w="4826"/>
      </w:tblGrid>
      <w:tr w:rsidR="001A19D3" w:rsidTr="001A19D3">
        <w:trPr>
          <w:trHeight w:val="298"/>
        </w:trPr>
        <w:tc>
          <w:tcPr>
            <w:tcW w:w="4826" w:type="dxa"/>
          </w:tcPr>
          <w:p w:rsidR="001A19D3" w:rsidRPr="00141BED" w:rsidRDefault="001A19D3" w:rsidP="001A19D3">
            <w:pPr>
              <w:pStyle w:val="a8"/>
              <w:spacing w:line="360" w:lineRule="auto"/>
              <w:rPr>
                <w:rFonts w:ascii="Times New Roman" w:hAnsi="Times New Roman"/>
                <w:sz w:val="24"/>
                <w:szCs w:val="24"/>
              </w:rPr>
            </w:pPr>
            <w:r w:rsidRPr="00141BED">
              <w:rPr>
                <w:rFonts w:ascii="Times New Roman" w:hAnsi="Times New Roman"/>
                <w:sz w:val="24"/>
                <w:szCs w:val="24"/>
              </w:rPr>
              <w:t>IRSTI 68.47.01</w:t>
            </w:r>
          </w:p>
          <w:p w:rsidR="001A19D3" w:rsidRPr="00141BED" w:rsidRDefault="001A19D3" w:rsidP="001A19D3">
            <w:pPr>
              <w:pStyle w:val="a8"/>
              <w:spacing w:line="360" w:lineRule="auto"/>
              <w:rPr>
                <w:rFonts w:ascii="Times New Roman" w:hAnsi="Times New Roman"/>
                <w:sz w:val="24"/>
                <w:szCs w:val="24"/>
              </w:rPr>
            </w:pPr>
            <w:r w:rsidRPr="00141BED">
              <w:rPr>
                <w:rFonts w:ascii="Times New Roman" w:hAnsi="Times New Roman"/>
                <w:sz w:val="24"/>
                <w:szCs w:val="24"/>
              </w:rPr>
              <w:t xml:space="preserve">UDC 630*111:630*563 </w:t>
            </w:r>
          </w:p>
          <w:p w:rsidR="001A19D3" w:rsidRPr="00141BED" w:rsidRDefault="001A19D3" w:rsidP="001A19D3">
            <w:pPr>
              <w:pStyle w:val="a8"/>
              <w:spacing w:line="360" w:lineRule="auto"/>
              <w:rPr>
                <w:rFonts w:ascii="Times New Roman" w:hAnsi="Times New Roman"/>
                <w:sz w:val="24"/>
                <w:szCs w:val="24"/>
              </w:rPr>
            </w:pPr>
            <w:r w:rsidRPr="00141BED">
              <w:rPr>
                <w:rFonts w:ascii="Times New Roman" w:hAnsi="Times New Roman"/>
                <w:sz w:val="24"/>
                <w:szCs w:val="24"/>
              </w:rPr>
              <w:t>State registration № 0118РК00548</w:t>
            </w:r>
          </w:p>
          <w:p w:rsidR="001A19D3" w:rsidRDefault="001A19D3" w:rsidP="001A19D3">
            <w:pPr>
              <w:pStyle w:val="a8"/>
              <w:spacing w:line="360" w:lineRule="auto"/>
              <w:rPr>
                <w:rFonts w:ascii="Times New Roman" w:hAnsi="Times New Roman"/>
                <w:sz w:val="24"/>
                <w:szCs w:val="24"/>
              </w:rPr>
            </w:pPr>
            <w:r w:rsidRPr="00141BED">
              <w:rPr>
                <w:rFonts w:ascii="Times New Roman" w:hAnsi="Times New Roman"/>
                <w:sz w:val="24"/>
                <w:szCs w:val="24"/>
              </w:rPr>
              <w:t xml:space="preserve">Inventory № </w:t>
            </w:r>
          </w:p>
        </w:tc>
        <w:tc>
          <w:tcPr>
            <w:tcW w:w="4826" w:type="dxa"/>
          </w:tcPr>
          <w:p w:rsidR="001A19D3" w:rsidRPr="00AB5692" w:rsidRDefault="001A19D3" w:rsidP="001A19D3">
            <w:pPr>
              <w:pStyle w:val="a8"/>
              <w:spacing w:line="360" w:lineRule="auto"/>
              <w:rPr>
                <w:rFonts w:ascii="Times New Roman" w:hAnsi="Times New Roman"/>
                <w:sz w:val="24"/>
                <w:szCs w:val="24"/>
              </w:rPr>
            </w:pPr>
          </w:p>
          <w:p w:rsidR="001A19D3" w:rsidRPr="00AB5692" w:rsidRDefault="001A19D3" w:rsidP="001A19D3">
            <w:pPr>
              <w:pStyle w:val="a8"/>
              <w:spacing w:line="360" w:lineRule="auto"/>
              <w:rPr>
                <w:rFonts w:ascii="Times New Roman" w:hAnsi="Times New Roman"/>
                <w:sz w:val="24"/>
                <w:szCs w:val="24"/>
              </w:rPr>
            </w:pPr>
          </w:p>
          <w:p w:rsidR="001A19D3" w:rsidRPr="00141BED" w:rsidRDefault="001A19D3" w:rsidP="001A19D3">
            <w:pPr>
              <w:pStyle w:val="a8"/>
              <w:spacing w:line="360" w:lineRule="auto"/>
              <w:rPr>
                <w:rFonts w:ascii="Times New Roman" w:hAnsi="Times New Roman"/>
                <w:sz w:val="24"/>
                <w:szCs w:val="24"/>
              </w:rPr>
            </w:pPr>
            <w:r w:rsidRPr="00141BED">
              <w:rPr>
                <w:rFonts w:ascii="Times New Roman" w:hAnsi="Times New Roman"/>
                <w:sz w:val="24"/>
                <w:szCs w:val="24"/>
              </w:rPr>
              <w:t xml:space="preserve">APPROVED: </w:t>
            </w:r>
          </w:p>
          <w:p w:rsidR="001A19D3" w:rsidRPr="001A19D3" w:rsidRDefault="001A19D3" w:rsidP="001A19D3">
            <w:pPr>
              <w:pStyle w:val="a8"/>
              <w:spacing w:line="360" w:lineRule="auto"/>
              <w:rPr>
                <w:rFonts w:ascii="Times New Roman" w:hAnsi="Times New Roman"/>
                <w:sz w:val="24"/>
                <w:szCs w:val="24"/>
              </w:rPr>
            </w:pPr>
            <w:r w:rsidRPr="001A19D3">
              <w:rPr>
                <w:rFonts w:ascii="Times New Roman" w:hAnsi="Times New Roman"/>
                <w:sz w:val="24"/>
                <w:szCs w:val="24"/>
              </w:rPr>
              <w:t>Acting Chairman of the Board</w:t>
            </w:r>
          </w:p>
          <w:p w:rsidR="001A19D3" w:rsidRPr="00141BED" w:rsidRDefault="001A19D3" w:rsidP="001A19D3">
            <w:pPr>
              <w:pStyle w:val="a8"/>
              <w:spacing w:line="360" w:lineRule="auto"/>
              <w:rPr>
                <w:rFonts w:ascii="Times New Roman" w:hAnsi="Times New Roman"/>
                <w:sz w:val="24"/>
                <w:szCs w:val="24"/>
              </w:rPr>
            </w:pPr>
            <w:r w:rsidRPr="001A19D3">
              <w:rPr>
                <w:rFonts w:ascii="Times New Roman" w:hAnsi="Times New Roman"/>
                <w:sz w:val="24"/>
                <w:szCs w:val="24"/>
              </w:rPr>
              <w:t>«</w:t>
            </w:r>
            <w:r w:rsidRPr="00141BED">
              <w:rPr>
                <w:rFonts w:ascii="Times New Roman" w:hAnsi="Times New Roman"/>
                <w:sz w:val="24"/>
                <w:szCs w:val="24"/>
              </w:rPr>
              <w:t>KazRIFA</w:t>
            </w:r>
            <w:r w:rsidRPr="001A19D3">
              <w:rPr>
                <w:rFonts w:ascii="Times New Roman" w:hAnsi="Times New Roman"/>
                <w:sz w:val="24"/>
                <w:szCs w:val="24"/>
              </w:rPr>
              <w:t>»</w:t>
            </w:r>
            <w:r w:rsidRPr="00141BED">
              <w:rPr>
                <w:rFonts w:ascii="Times New Roman" w:hAnsi="Times New Roman"/>
                <w:sz w:val="24"/>
                <w:szCs w:val="24"/>
              </w:rPr>
              <w:t xml:space="preserve"> LLP</w:t>
            </w:r>
            <w:r w:rsidRPr="001A19D3">
              <w:rPr>
                <w:rFonts w:ascii="Times New Roman" w:hAnsi="Times New Roman"/>
                <w:sz w:val="24"/>
                <w:szCs w:val="24"/>
              </w:rPr>
              <w:t xml:space="preserve"> named after A.N. Bukeikhan</w:t>
            </w:r>
            <w:r w:rsidRPr="00141BED">
              <w:rPr>
                <w:rFonts w:ascii="Times New Roman" w:hAnsi="Times New Roman"/>
                <w:sz w:val="24"/>
                <w:szCs w:val="24"/>
              </w:rPr>
              <w:t xml:space="preserve">  </w:t>
            </w:r>
          </w:p>
          <w:p w:rsidR="001A19D3" w:rsidRPr="00141BED" w:rsidRDefault="001A19D3" w:rsidP="001A19D3">
            <w:pPr>
              <w:pStyle w:val="a8"/>
              <w:spacing w:line="360" w:lineRule="auto"/>
              <w:rPr>
                <w:rFonts w:ascii="Times New Roman" w:hAnsi="Times New Roman"/>
                <w:sz w:val="24"/>
                <w:szCs w:val="24"/>
              </w:rPr>
            </w:pPr>
            <w:r w:rsidRPr="00141BED">
              <w:rPr>
                <w:rFonts w:ascii="Times New Roman" w:hAnsi="Times New Roman"/>
                <w:sz w:val="24"/>
                <w:szCs w:val="24"/>
              </w:rPr>
              <w:t xml:space="preserve">__________ А.N. Rakhimzhanov </w:t>
            </w:r>
          </w:p>
          <w:p w:rsidR="001A19D3" w:rsidRDefault="001A19D3" w:rsidP="001A19D3">
            <w:pPr>
              <w:spacing w:after="0" w:line="360" w:lineRule="auto"/>
              <w:ind w:left="235"/>
              <w:jc w:val="both"/>
              <w:rPr>
                <w:rFonts w:ascii="Times New Roman" w:hAnsi="Times New Roman"/>
                <w:sz w:val="24"/>
                <w:szCs w:val="24"/>
                <w:lang w:val="en-US"/>
              </w:rPr>
            </w:pPr>
            <w:r w:rsidRPr="00141BED">
              <w:rPr>
                <w:rFonts w:ascii="Times New Roman" w:hAnsi="Times New Roman"/>
                <w:sz w:val="24"/>
                <w:szCs w:val="24"/>
                <w:lang w:val="en-US"/>
              </w:rPr>
              <w:t>«</w:t>
            </w:r>
            <w:r>
              <w:rPr>
                <w:rFonts w:ascii="Times New Roman" w:hAnsi="Times New Roman"/>
                <w:sz w:val="24"/>
                <w:szCs w:val="24"/>
              </w:rPr>
              <w:t>__</w:t>
            </w:r>
            <w:r w:rsidRPr="00141BED">
              <w:rPr>
                <w:rFonts w:ascii="Times New Roman" w:hAnsi="Times New Roman"/>
                <w:sz w:val="24"/>
                <w:szCs w:val="24"/>
                <w:lang w:val="en-US"/>
              </w:rPr>
              <w:t>» ________ 2020</w:t>
            </w:r>
          </w:p>
        </w:tc>
      </w:tr>
    </w:tbl>
    <w:p w:rsidR="000D2E00" w:rsidRPr="00141BED" w:rsidRDefault="000D2E00" w:rsidP="00141BED">
      <w:pPr>
        <w:spacing w:after="0" w:line="360" w:lineRule="auto"/>
        <w:jc w:val="both"/>
        <w:rPr>
          <w:rFonts w:ascii="Times New Roman" w:hAnsi="Times New Roman"/>
          <w:sz w:val="24"/>
          <w:szCs w:val="24"/>
          <w:lang w:val="kk-KZ"/>
        </w:rPr>
      </w:pPr>
    </w:p>
    <w:tbl>
      <w:tblPr>
        <w:tblW w:w="0" w:type="auto"/>
        <w:tblLook w:val="04A0" w:firstRow="1" w:lastRow="0" w:firstColumn="1" w:lastColumn="0" w:noHBand="0" w:noVBand="1"/>
      </w:tblPr>
      <w:tblGrid>
        <w:gridCol w:w="4020"/>
        <w:gridCol w:w="1530"/>
        <w:gridCol w:w="4020"/>
      </w:tblGrid>
      <w:tr w:rsidR="00CC6AFB" w:rsidRPr="001A19D3" w:rsidTr="000D2E00">
        <w:trPr>
          <w:trHeight w:val="856"/>
        </w:trPr>
        <w:tc>
          <w:tcPr>
            <w:tcW w:w="4106" w:type="dxa"/>
            <w:shd w:val="clear" w:color="auto" w:fill="auto"/>
          </w:tcPr>
          <w:p w:rsidR="000D2E00" w:rsidRPr="00141BED" w:rsidRDefault="000D2E00" w:rsidP="00141BED">
            <w:pPr>
              <w:pStyle w:val="a8"/>
              <w:spacing w:line="360" w:lineRule="auto"/>
              <w:rPr>
                <w:rFonts w:ascii="Times New Roman" w:hAnsi="Times New Roman"/>
                <w:sz w:val="24"/>
                <w:szCs w:val="24"/>
              </w:rPr>
            </w:pPr>
          </w:p>
        </w:tc>
        <w:tc>
          <w:tcPr>
            <w:tcW w:w="1559" w:type="dxa"/>
            <w:shd w:val="clear" w:color="auto" w:fill="auto"/>
          </w:tcPr>
          <w:p w:rsidR="000D2E00" w:rsidRPr="00141BED" w:rsidRDefault="000D2E00" w:rsidP="00141BED">
            <w:pPr>
              <w:spacing w:after="0" w:line="360" w:lineRule="auto"/>
              <w:rPr>
                <w:rFonts w:ascii="Times New Roman" w:hAnsi="Times New Roman"/>
                <w:sz w:val="24"/>
                <w:szCs w:val="24"/>
                <w:lang w:val="en-US"/>
              </w:rPr>
            </w:pPr>
          </w:p>
        </w:tc>
        <w:tc>
          <w:tcPr>
            <w:tcW w:w="4105" w:type="dxa"/>
            <w:shd w:val="clear" w:color="auto" w:fill="auto"/>
          </w:tcPr>
          <w:p w:rsidR="000D2E00" w:rsidRPr="00141BED" w:rsidRDefault="000D2E00" w:rsidP="001A19D3">
            <w:pPr>
              <w:spacing w:after="0" w:line="360" w:lineRule="auto"/>
              <w:rPr>
                <w:rFonts w:ascii="Times New Roman" w:hAnsi="Times New Roman"/>
                <w:sz w:val="24"/>
                <w:szCs w:val="24"/>
                <w:lang w:val="en-US"/>
              </w:rPr>
            </w:pPr>
          </w:p>
        </w:tc>
      </w:tr>
    </w:tbl>
    <w:p w:rsidR="00A820F1" w:rsidRPr="00141BED" w:rsidRDefault="00A820F1" w:rsidP="00141BED">
      <w:pPr>
        <w:spacing w:after="0" w:line="360" w:lineRule="auto"/>
        <w:jc w:val="both"/>
        <w:rPr>
          <w:rFonts w:ascii="Times New Roman" w:hAnsi="Times New Roman"/>
          <w:sz w:val="24"/>
          <w:szCs w:val="24"/>
          <w:lang w:val="en-US"/>
        </w:rPr>
      </w:pPr>
    </w:p>
    <w:p w:rsidR="00BB762A" w:rsidRPr="00141BED" w:rsidRDefault="00BB762A"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REPORT</w:t>
      </w:r>
    </w:p>
    <w:p w:rsidR="00BB762A" w:rsidRPr="00141BED" w:rsidRDefault="00BB762A"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ABOUT SCIENTIFIC-RESEARCH WORK</w:t>
      </w:r>
    </w:p>
    <w:p w:rsidR="00BB762A" w:rsidRPr="00141BED" w:rsidRDefault="00BB762A" w:rsidP="00141BED">
      <w:pPr>
        <w:spacing w:after="0" w:line="360" w:lineRule="auto"/>
        <w:jc w:val="center"/>
        <w:rPr>
          <w:rFonts w:ascii="Times New Roman" w:hAnsi="Times New Roman"/>
          <w:sz w:val="24"/>
          <w:szCs w:val="24"/>
          <w:lang w:val="en-US"/>
        </w:rPr>
      </w:pPr>
    </w:p>
    <w:p w:rsidR="004B3E68" w:rsidRPr="00141BED" w:rsidRDefault="004B3E68"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 xml:space="preserve">STUDY OF CLIMATOGENIC AND ANTHROPOGENIC DYNAMICS OF </w:t>
      </w:r>
      <w:hyperlink r:id="rId8" w:history="1">
        <w:r w:rsidR="00204837" w:rsidRPr="00141BED">
          <w:rPr>
            <w:rFonts w:ascii="Times New Roman" w:hAnsi="Times New Roman"/>
            <w:sz w:val="24"/>
            <w:szCs w:val="24"/>
            <w:lang w:val="en-US"/>
          </w:rPr>
          <w:t>PINE FOREST</w:t>
        </w:r>
      </w:hyperlink>
      <w:r w:rsidR="00204837" w:rsidRPr="00141BED">
        <w:rPr>
          <w:rFonts w:ascii="Times New Roman" w:hAnsi="Times New Roman"/>
          <w:sz w:val="24"/>
          <w:szCs w:val="24"/>
          <w:lang w:val="en-US"/>
        </w:rPr>
        <w:t>S</w:t>
      </w:r>
      <w:r w:rsidR="00BB762A" w:rsidRPr="00141BED">
        <w:rPr>
          <w:rFonts w:ascii="Times New Roman" w:hAnsi="Times New Roman"/>
          <w:b/>
          <w:sz w:val="24"/>
          <w:szCs w:val="24"/>
          <w:lang w:val="en-US"/>
        </w:rPr>
        <w:t xml:space="preserve"> </w:t>
      </w:r>
      <w:r w:rsidRPr="00141BED">
        <w:rPr>
          <w:rFonts w:ascii="Times New Roman" w:hAnsi="Times New Roman"/>
          <w:sz w:val="24"/>
          <w:szCs w:val="24"/>
          <w:lang w:val="en-US"/>
        </w:rPr>
        <w:t>OF KAZAKHSTAN BY METHODS OF DENDROCHRONOLOGY</w:t>
      </w:r>
    </w:p>
    <w:p w:rsidR="00A820F1" w:rsidRDefault="004B3E68" w:rsidP="00141BED">
      <w:pPr>
        <w:spacing w:after="0" w:line="360" w:lineRule="auto"/>
        <w:jc w:val="center"/>
        <w:rPr>
          <w:rFonts w:ascii="Times New Roman" w:hAnsi="Times New Roman"/>
          <w:sz w:val="24"/>
          <w:szCs w:val="24"/>
        </w:rPr>
      </w:pPr>
      <w:r w:rsidRPr="00141BED">
        <w:rPr>
          <w:rFonts w:ascii="Times New Roman" w:hAnsi="Times New Roman"/>
          <w:sz w:val="24"/>
          <w:szCs w:val="24"/>
          <w:lang w:val="en-US"/>
        </w:rPr>
        <w:t>(</w:t>
      </w:r>
      <w:proofErr w:type="gramStart"/>
      <w:r w:rsidRPr="00141BED">
        <w:rPr>
          <w:rFonts w:ascii="Times New Roman" w:hAnsi="Times New Roman"/>
          <w:sz w:val="24"/>
          <w:szCs w:val="24"/>
          <w:lang w:val="en-US"/>
        </w:rPr>
        <w:t>final</w:t>
      </w:r>
      <w:proofErr w:type="gramEnd"/>
      <w:r w:rsidRPr="00141BED">
        <w:rPr>
          <w:rFonts w:ascii="Times New Roman" w:hAnsi="Times New Roman"/>
          <w:sz w:val="24"/>
          <w:szCs w:val="24"/>
          <w:lang w:val="en-US"/>
        </w:rPr>
        <w:t>)</w:t>
      </w:r>
    </w:p>
    <w:p w:rsidR="001A19D3" w:rsidRDefault="001A19D3" w:rsidP="00141BED">
      <w:pPr>
        <w:spacing w:after="0" w:line="360" w:lineRule="auto"/>
        <w:jc w:val="center"/>
        <w:rPr>
          <w:rFonts w:ascii="Times New Roman" w:hAnsi="Times New Roman"/>
          <w:sz w:val="24"/>
          <w:szCs w:val="24"/>
        </w:rPr>
      </w:pPr>
    </w:p>
    <w:p w:rsidR="001A19D3" w:rsidRPr="001A19D3" w:rsidRDefault="001A19D3" w:rsidP="00141BED">
      <w:pPr>
        <w:spacing w:after="0" w:line="360" w:lineRule="auto"/>
        <w:jc w:val="center"/>
        <w:rPr>
          <w:rFonts w:ascii="Times New Roman" w:hAnsi="Times New Roman"/>
          <w:sz w:val="24"/>
          <w:szCs w:val="24"/>
        </w:rPr>
      </w:pPr>
    </w:p>
    <w:p w:rsidR="00A820F1" w:rsidRPr="00141BED" w:rsidRDefault="00A820F1" w:rsidP="00141BED">
      <w:pPr>
        <w:spacing w:after="0" w:line="360" w:lineRule="auto"/>
        <w:jc w:val="center"/>
        <w:rPr>
          <w:rFonts w:ascii="Times New Roman" w:hAnsi="Times New Roman"/>
          <w:sz w:val="24"/>
          <w:szCs w:val="24"/>
          <w:lang w:val="en-US"/>
        </w:rPr>
      </w:pPr>
    </w:p>
    <w:p w:rsidR="00BB762A" w:rsidRPr="00141BED" w:rsidRDefault="00BB762A" w:rsidP="00141BED">
      <w:pPr>
        <w:spacing w:after="0" w:line="360" w:lineRule="auto"/>
        <w:rPr>
          <w:rFonts w:ascii="Times New Roman" w:hAnsi="Times New Roman"/>
          <w:sz w:val="24"/>
          <w:szCs w:val="24"/>
          <w:lang w:val="en-US"/>
        </w:rPr>
      </w:pPr>
      <w:r w:rsidRPr="00141BED">
        <w:rPr>
          <w:rFonts w:ascii="Times New Roman" w:hAnsi="Times New Roman"/>
          <w:sz w:val="24"/>
          <w:szCs w:val="24"/>
          <w:lang w:val="en-US"/>
        </w:rPr>
        <w:t xml:space="preserve">Scientific Supervisor </w:t>
      </w:r>
    </w:p>
    <w:p w:rsidR="001A19D3" w:rsidRPr="001A19D3" w:rsidRDefault="00BB762A" w:rsidP="00141BED">
      <w:pPr>
        <w:spacing w:after="0" w:line="360" w:lineRule="auto"/>
        <w:rPr>
          <w:rFonts w:ascii="Times New Roman" w:hAnsi="Times New Roman"/>
          <w:sz w:val="24"/>
          <w:szCs w:val="24"/>
          <w:lang w:val="en-US"/>
        </w:rPr>
      </w:pPr>
      <w:proofErr w:type="gramStart"/>
      <w:r w:rsidRPr="00141BED">
        <w:rPr>
          <w:rFonts w:ascii="Times New Roman" w:hAnsi="Times New Roman"/>
          <w:sz w:val="24"/>
          <w:szCs w:val="24"/>
          <w:lang w:val="en-US"/>
        </w:rPr>
        <w:t>of</w:t>
      </w:r>
      <w:proofErr w:type="gramEnd"/>
      <w:r w:rsidRPr="00141BED">
        <w:rPr>
          <w:rFonts w:ascii="Times New Roman" w:hAnsi="Times New Roman"/>
          <w:sz w:val="24"/>
          <w:szCs w:val="24"/>
          <w:lang w:val="en-US"/>
        </w:rPr>
        <w:t xml:space="preserve"> the scientific-research work</w:t>
      </w:r>
      <w:r w:rsidR="001A19D3" w:rsidRPr="001A19D3">
        <w:rPr>
          <w:rFonts w:ascii="Times New Roman" w:hAnsi="Times New Roman"/>
          <w:sz w:val="24"/>
          <w:szCs w:val="24"/>
          <w:lang w:val="en-US"/>
        </w:rPr>
        <w:t>,</w:t>
      </w:r>
    </w:p>
    <w:p w:rsidR="001A19D3" w:rsidRDefault="001A19D3" w:rsidP="00141BED">
      <w:pPr>
        <w:spacing w:after="0" w:line="360" w:lineRule="auto"/>
        <w:rPr>
          <w:rFonts w:ascii="Times New Roman" w:hAnsi="Times New Roman"/>
          <w:sz w:val="24"/>
          <w:szCs w:val="24"/>
        </w:rPr>
      </w:pPr>
      <w:r w:rsidRPr="001A19D3">
        <w:rPr>
          <w:rFonts w:ascii="Times New Roman" w:hAnsi="Times New Roman"/>
          <w:sz w:val="24"/>
          <w:szCs w:val="24"/>
          <w:lang w:val="en-US"/>
        </w:rPr>
        <w:t xml:space="preserve">Candidate of Biological Sciences, </w:t>
      </w:r>
    </w:p>
    <w:p w:rsidR="00A820F1" w:rsidRPr="00141BED" w:rsidRDefault="001A19D3" w:rsidP="00141BED">
      <w:pPr>
        <w:spacing w:after="0" w:line="360" w:lineRule="auto"/>
        <w:rPr>
          <w:rFonts w:ascii="Times New Roman" w:hAnsi="Times New Roman"/>
          <w:sz w:val="24"/>
          <w:szCs w:val="24"/>
          <w:lang w:val="en-US"/>
        </w:rPr>
      </w:pPr>
      <w:proofErr w:type="gramStart"/>
      <w:r>
        <w:rPr>
          <w:rFonts w:ascii="Times New Roman" w:hAnsi="Times New Roman"/>
          <w:sz w:val="24"/>
          <w:szCs w:val="24"/>
        </w:rPr>
        <w:t>а</w:t>
      </w:r>
      <w:proofErr w:type="gramEnd"/>
      <w:r w:rsidRPr="001A19D3">
        <w:rPr>
          <w:rFonts w:ascii="Times New Roman" w:hAnsi="Times New Roman"/>
          <w:sz w:val="24"/>
          <w:szCs w:val="24"/>
          <w:lang w:val="en-US"/>
        </w:rPr>
        <w:t>ssociate Professor</w:t>
      </w:r>
      <w:r w:rsidR="00A820F1" w:rsidRPr="00141BED">
        <w:rPr>
          <w:rFonts w:ascii="Times New Roman" w:hAnsi="Times New Roman"/>
          <w:sz w:val="24"/>
          <w:szCs w:val="24"/>
          <w:lang w:val="en-US"/>
        </w:rPr>
        <w:t xml:space="preserve">  </w:t>
      </w:r>
      <w:r w:rsidR="00BB762A" w:rsidRPr="00141BED">
        <w:rPr>
          <w:rFonts w:ascii="Times New Roman" w:hAnsi="Times New Roman"/>
          <w:sz w:val="24"/>
          <w:szCs w:val="24"/>
          <w:lang w:val="en-US"/>
        </w:rPr>
        <w:t xml:space="preserve">           </w:t>
      </w:r>
      <w:r w:rsidR="00A820F1" w:rsidRPr="00141BED">
        <w:rPr>
          <w:rFonts w:ascii="Times New Roman" w:hAnsi="Times New Roman"/>
          <w:sz w:val="24"/>
          <w:szCs w:val="24"/>
          <w:lang w:val="en-US"/>
        </w:rPr>
        <w:t xml:space="preserve">       </w:t>
      </w:r>
      <w:r w:rsidR="00204837" w:rsidRPr="00141BED">
        <w:rPr>
          <w:rFonts w:ascii="Times New Roman" w:hAnsi="Times New Roman"/>
          <w:sz w:val="24"/>
          <w:szCs w:val="24"/>
          <w:lang w:val="en-US"/>
        </w:rPr>
        <w:t xml:space="preserve">    </w:t>
      </w:r>
      <w:r w:rsidRPr="001A19D3">
        <w:rPr>
          <w:rFonts w:ascii="Times New Roman" w:hAnsi="Times New Roman"/>
          <w:sz w:val="24"/>
          <w:szCs w:val="24"/>
          <w:lang w:val="en-US"/>
        </w:rPr>
        <w:t xml:space="preserve">                                </w:t>
      </w:r>
      <w:r w:rsidR="00204837" w:rsidRPr="00141BED">
        <w:rPr>
          <w:rFonts w:ascii="Times New Roman" w:hAnsi="Times New Roman"/>
          <w:sz w:val="24"/>
          <w:szCs w:val="24"/>
          <w:lang w:val="en-US"/>
        </w:rPr>
        <w:t xml:space="preserve">   «     »           2020  </w:t>
      </w:r>
      <w:r w:rsidR="00A820F1" w:rsidRPr="00141BED">
        <w:rPr>
          <w:rFonts w:ascii="Times New Roman" w:hAnsi="Times New Roman"/>
          <w:sz w:val="24"/>
          <w:szCs w:val="24"/>
          <w:lang w:val="en-US"/>
        </w:rPr>
        <w:t xml:space="preserve">  </w:t>
      </w:r>
      <w:r w:rsidR="00204837" w:rsidRPr="00141BED">
        <w:rPr>
          <w:rFonts w:ascii="Times New Roman" w:hAnsi="Times New Roman"/>
          <w:sz w:val="24"/>
          <w:szCs w:val="24"/>
          <w:lang w:val="en-US"/>
        </w:rPr>
        <w:t>Kabanova S</w:t>
      </w:r>
      <w:r w:rsidR="00A820F1" w:rsidRPr="00141BED">
        <w:rPr>
          <w:rFonts w:ascii="Times New Roman" w:hAnsi="Times New Roman"/>
          <w:sz w:val="24"/>
          <w:szCs w:val="24"/>
          <w:lang w:val="en-US"/>
        </w:rPr>
        <w:t>.А.</w:t>
      </w:r>
    </w:p>
    <w:p w:rsidR="00A820F1" w:rsidRPr="00141BED" w:rsidRDefault="00A820F1" w:rsidP="00141BED">
      <w:pPr>
        <w:widowControl w:val="0"/>
        <w:spacing w:after="0" w:line="360" w:lineRule="auto"/>
        <w:ind w:firstLine="709"/>
        <w:jc w:val="center"/>
        <w:rPr>
          <w:rFonts w:ascii="Times New Roman" w:hAnsi="Times New Roman"/>
          <w:sz w:val="24"/>
          <w:szCs w:val="24"/>
          <w:lang w:val="en-US"/>
        </w:rPr>
      </w:pPr>
    </w:p>
    <w:p w:rsidR="00A820F1" w:rsidRPr="00141BED" w:rsidRDefault="00A820F1" w:rsidP="00141BED">
      <w:pPr>
        <w:widowControl w:val="0"/>
        <w:spacing w:after="0" w:line="360" w:lineRule="auto"/>
        <w:jc w:val="center"/>
        <w:rPr>
          <w:rFonts w:ascii="Times New Roman" w:hAnsi="Times New Roman"/>
          <w:sz w:val="24"/>
          <w:szCs w:val="24"/>
          <w:lang w:val="en-US"/>
        </w:rPr>
      </w:pPr>
    </w:p>
    <w:p w:rsidR="00A820F1" w:rsidRPr="00141BED" w:rsidRDefault="00A820F1" w:rsidP="00141BED">
      <w:pPr>
        <w:widowControl w:val="0"/>
        <w:spacing w:after="0" w:line="360" w:lineRule="auto"/>
        <w:jc w:val="center"/>
        <w:rPr>
          <w:rFonts w:ascii="Times New Roman" w:hAnsi="Times New Roman"/>
          <w:sz w:val="24"/>
          <w:szCs w:val="24"/>
          <w:lang w:val="en-US"/>
        </w:rPr>
      </w:pPr>
    </w:p>
    <w:p w:rsidR="001A19D3" w:rsidRPr="00911CCD" w:rsidRDefault="00BB762A" w:rsidP="00911CC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Shchuchinsk 2020</w:t>
      </w:r>
      <w:r w:rsidR="001A19D3">
        <w:rPr>
          <w:rFonts w:ascii="Times New Roman" w:hAnsi="Times New Roman"/>
          <w:sz w:val="24"/>
          <w:szCs w:val="24"/>
        </w:rPr>
        <w:br w:type="page"/>
      </w:r>
    </w:p>
    <w:p w:rsidR="00BB762A" w:rsidRPr="001C4554" w:rsidRDefault="00BB762A" w:rsidP="00141BED">
      <w:pPr>
        <w:pStyle w:val="a8"/>
        <w:spacing w:line="360" w:lineRule="auto"/>
        <w:jc w:val="center"/>
        <w:rPr>
          <w:rFonts w:ascii="Times New Roman" w:hAnsi="Times New Roman"/>
          <w:b/>
          <w:sz w:val="24"/>
          <w:szCs w:val="24"/>
        </w:rPr>
      </w:pPr>
      <w:r w:rsidRPr="001C4554">
        <w:rPr>
          <w:rFonts w:ascii="Times New Roman" w:hAnsi="Times New Roman"/>
          <w:b/>
          <w:sz w:val="24"/>
          <w:szCs w:val="24"/>
        </w:rPr>
        <w:lastRenderedPageBreak/>
        <w:t>LIST OF EXECUTORS</w:t>
      </w:r>
    </w:p>
    <w:p w:rsidR="00BB762A" w:rsidRPr="00141BED" w:rsidRDefault="00BB762A" w:rsidP="00141BED">
      <w:pPr>
        <w:pStyle w:val="a8"/>
        <w:spacing w:line="360" w:lineRule="auto"/>
        <w:rPr>
          <w:rFonts w:ascii="Times New Roman" w:hAnsi="Times New Roman"/>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200"/>
        <w:gridCol w:w="3186"/>
      </w:tblGrid>
      <w:tr w:rsidR="00141BED" w:rsidRPr="00141BED" w:rsidTr="00911CCD">
        <w:tc>
          <w:tcPr>
            <w:tcW w:w="3184" w:type="dxa"/>
          </w:tcPr>
          <w:p w:rsidR="00C65F5F" w:rsidRPr="00141BED" w:rsidRDefault="00C65F5F" w:rsidP="00141BED">
            <w:pPr>
              <w:widowControl w:val="0"/>
              <w:tabs>
                <w:tab w:val="left" w:pos="862"/>
                <w:tab w:val="left" w:pos="7099"/>
              </w:tabs>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Scientific Supervisor:</w:t>
            </w:r>
          </w:p>
          <w:p w:rsidR="005864A9" w:rsidRPr="00141BED" w:rsidRDefault="005864A9" w:rsidP="00141BED">
            <w:pPr>
              <w:pStyle w:val="a8"/>
              <w:spacing w:line="360" w:lineRule="auto"/>
              <w:rPr>
                <w:rFonts w:ascii="Times New Roman" w:hAnsi="Times New Roman"/>
                <w:sz w:val="24"/>
                <w:szCs w:val="24"/>
              </w:rPr>
            </w:pPr>
          </w:p>
        </w:tc>
        <w:tc>
          <w:tcPr>
            <w:tcW w:w="3200" w:type="dxa"/>
          </w:tcPr>
          <w:p w:rsidR="005864A9" w:rsidRPr="00141BED" w:rsidRDefault="005864A9" w:rsidP="00141BED">
            <w:pPr>
              <w:pStyle w:val="a8"/>
              <w:spacing w:line="360" w:lineRule="auto"/>
              <w:rPr>
                <w:rFonts w:ascii="Times New Roman" w:hAnsi="Times New Roman"/>
                <w:sz w:val="24"/>
                <w:szCs w:val="24"/>
              </w:rPr>
            </w:pPr>
          </w:p>
        </w:tc>
        <w:tc>
          <w:tcPr>
            <w:tcW w:w="3186" w:type="dxa"/>
          </w:tcPr>
          <w:p w:rsidR="005864A9" w:rsidRPr="00141BED" w:rsidRDefault="005864A9" w:rsidP="00141BED">
            <w:pPr>
              <w:pStyle w:val="a8"/>
              <w:spacing w:line="360" w:lineRule="auto"/>
              <w:rPr>
                <w:rFonts w:ascii="Times New Roman" w:hAnsi="Times New Roman"/>
                <w:sz w:val="24"/>
                <w:szCs w:val="24"/>
              </w:rPr>
            </w:pPr>
          </w:p>
        </w:tc>
      </w:tr>
      <w:tr w:rsidR="00141BED" w:rsidRPr="00911CCD" w:rsidTr="00911CCD">
        <w:tc>
          <w:tcPr>
            <w:tcW w:w="3184" w:type="dxa"/>
          </w:tcPr>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 xml:space="preserve">Head of the department of </w:t>
            </w: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forest regeneration and</w:t>
            </w: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afforestation,</w:t>
            </w: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lang w:val="kk-KZ"/>
              </w:rPr>
              <w:t>Candidate</w:t>
            </w:r>
            <w:r w:rsidRPr="00141BED">
              <w:rPr>
                <w:rFonts w:ascii="Times New Roman" w:hAnsi="Times New Roman"/>
                <w:sz w:val="24"/>
                <w:szCs w:val="24"/>
              </w:rPr>
              <w:t xml:space="preserve"> of biological science,</w:t>
            </w: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associate Professor</w:t>
            </w:r>
          </w:p>
        </w:tc>
        <w:tc>
          <w:tcPr>
            <w:tcW w:w="3200" w:type="dxa"/>
          </w:tcPr>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________________</w:t>
            </w:r>
          </w:p>
        </w:tc>
        <w:tc>
          <w:tcPr>
            <w:tcW w:w="3186" w:type="dxa"/>
          </w:tcPr>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S.А. Kabanova (Introduction, section 3-4,                                                                                      Conclusion)</w:t>
            </w:r>
          </w:p>
        </w:tc>
      </w:tr>
      <w:tr w:rsidR="00141BED" w:rsidRPr="00141BED" w:rsidTr="00911CCD">
        <w:tc>
          <w:tcPr>
            <w:tcW w:w="3184" w:type="dxa"/>
          </w:tcPr>
          <w:p w:rsidR="00C65F5F" w:rsidRPr="00141BED" w:rsidRDefault="00C65F5F" w:rsidP="00141BED">
            <w:pPr>
              <w:spacing w:after="0" w:line="360" w:lineRule="auto"/>
              <w:jc w:val="both"/>
              <w:rPr>
                <w:rFonts w:ascii="Times New Roman" w:hAnsi="Times New Roman"/>
                <w:sz w:val="24"/>
                <w:szCs w:val="24"/>
                <w:lang w:val="en-US"/>
              </w:rPr>
            </w:pPr>
          </w:p>
          <w:p w:rsidR="00C65F5F" w:rsidRPr="00141BED" w:rsidRDefault="00C65F5F" w:rsidP="00141BED">
            <w:pPr>
              <w:spacing w:after="0" w:line="360" w:lineRule="auto"/>
              <w:jc w:val="both"/>
              <w:rPr>
                <w:rFonts w:ascii="Times New Roman" w:hAnsi="Times New Roman"/>
                <w:sz w:val="24"/>
                <w:szCs w:val="24"/>
              </w:rPr>
            </w:pPr>
            <w:r w:rsidRPr="00141BED">
              <w:rPr>
                <w:rFonts w:ascii="Times New Roman" w:hAnsi="Times New Roman"/>
                <w:sz w:val="24"/>
                <w:szCs w:val="24"/>
                <w:lang w:val="en-US"/>
              </w:rPr>
              <w:t>E</w:t>
            </w:r>
            <w:r w:rsidRPr="00141BED">
              <w:rPr>
                <w:rFonts w:ascii="Times New Roman" w:hAnsi="Times New Roman"/>
                <w:sz w:val="24"/>
                <w:szCs w:val="24"/>
              </w:rPr>
              <w:t>xecutors:</w:t>
            </w:r>
          </w:p>
          <w:p w:rsidR="00C65F5F" w:rsidRPr="00141BED" w:rsidRDefault="00C65F5F" w:rsidP="00141BED">
            <w:pPr>
              <w:pStyle w:val="a8"/>
              <w:spacing w:line="360" w:lineRule="auto"/>
              <w:rPr>
                <w:rFonts w:ascii="Times New Roman" w:hAnsi="Times New Roman"/>
                <w:sz w:val="24"/>
                <w:szCs w:val="24"/>
              </w:rPr>
            </w:pPr>
          </w:p>
        </w:tc>
        <w:tc>
          <w:tcPr>
            <w:tcW w:w="3200" w:type="dxa"/>
          </w:tcPr>
          <w:p w:rsidR="00C65F5F" w:rsidRPr="00141BED" w:rsidRDefault="00C65F5F" w:rsidP="00141BED">
            <w:pPr>
              <w:pStyle w:val="a8"/>
              <w:spacing w:line="360" w:lineRule="auto"/>
              <w:rPr>
                <w:rFonts w:ascii="Times New Roman" w:hAnsi="Times New Roman"/>
                <w:sz w:val="24"/>
                <w:szCs w:val="24"/>
              </w:rPr>
            </w:pPr>
          </w:p>
        </w:tc>
        <w:tc>
          <w:tcPr>
            <w:tcW w:w="3186" w:type="dxa"/>
          </w:tcPr>
          <w:p w:rsidR="00C65F5F" w:rsidRPr="00141BED" w:rsidRDefault="00C65F5F" w:rsidP="00141BED">
            <w:pPr>
              <w:pStyle w:val="a8"/>
              <w:spacing w:line="360" w:lineRule="auto"/>
              <w:rPr>
                <w:rFonts w:ascii="Times New Roman" w:hAnsi="Times New Roman"/>
                <w:sz w:val="24"/>
                <w:szCs w:val="24"/>
              </w:rPr>
            </w:pPr>
          </w:p>
        </w:tc>
      </w:tr>
      <w:tr w:rsidR="00141BED" w:rsidRPr="00141BED" w:rsidTr="00911CCD">
        <w:tc>
          <w:tcPr>
            <w:tcW w:w="3184" w:type="dxa"/>
          </w:tcPr>
          <w:p w:rsidR="00C65F5F" w:rsidRPr="00141BED" w:rsidRDefault="00C65F5F"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 xml:space="preserve">Junior resercher, </w:t>
            </w: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 xml:space="preserve">Doctor PhD  </w:t>
            </w:r>
          </w:p>
        </w:tc>
        <w:tc>
          <w:tcPr>
            <w:tcW w:w="3200" w:type="dxa"/>
          </w:tcPr>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_________________</w:t>
            </w:r>
          </w:p>
        </w:tc>
        <w:tc>
          <w:tcPr>
            <w:tcW w:w="3186" w:type="dxa"/>
          </w:tcPr>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Е.P. Vibe (section 1-3)</w:t>
            </w:r>
          </w:p>
        </w:tc>
      </w:tr>
      <w:tr w:rsidR="00141BED" w:rsidRPr="00911CCD" w:rsidTr="00911CCD">
        <w:tc>
          <w:tcPr>
            <w:tcW w:w="3184" w:type="dxa"/>
          </w:tcPr>
          <w:p w:rsidR="007E5581" w:rsidRPr="00141BED" w:rsidRDefault="007E5581"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Senior laboratory assistant</w:t>
            </w:r>
          </w:p>
        </w:tc>
        <w:tc>
          <w:tcPr>
            <w:tcW w:w="3200" w:type="dxa"/>
          </w:tcPr>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____________________</w:t>
            </w:r>
          </w:p>
          <w:p w:rsidR="00C65F5F" w:rsidRPr="00141BED" w:rsidRDefault="00C65F5F" w:rsidP="00141BED">
            <w:pPr>
              <w:pStyle w:val="a8"/>
              <w:spacing w:line="360" w:lineRule="auto"/>
              <w:rPr>
                <w:rFonts w:ascii="Times New Roman" w:hAnsi="Times New Roman"/>
                <w:sz w:val="24"/>
                <w:szCs w:val="24"/>
              </w:rPr>
            </w:pPr>
          </w:p>
        </w:tc>
        <w:tc>
          <w:tcPr>
            <w:tcW w:w="3186" w:type="dxa"/>
          </w:tcPr>
          <w:p w:rsidR="007E5581" w:rsidRPr="00141BED" w:rsidRDefault="007E5581"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К.А. Merkel (collection and processing                                                                                                       of material)</w:t>
            </w:r>
          </w:p>
        </w:tc>
      </w:tr>
      <w:tr w:rsidR="00141BED" w:rsidRPr="00911CCD" w:rsidTr="00911CCD">
        <w:tc>
          <w:tcPr>
            <w:tcW w:w="3184" w:type="dxa"/>
          </w:tcPr>
          <w:p w:rsidR="007E5581" w:rsidRPr="00141BED" w:rsidRDefault="007E5581"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Senior laboratory assistant</w:t>
            </w:r>
          </w:p>
        </w:tc>
        <w:tc>
          <w:tcPr>
            <w:tcW w:w="3200" w:type="dxa"/>
          </w:tcPr>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p>
          <w:p w:rsidR="00C65F5F" w:rsidRPr="00141BED" w:rsidRDefault="00C65F5F" w:rsidP="00141BED">
            <w:pPr>
              <w:pStyle w:val="a8"/>
              <w:spacing w:line="360" w:lineRule="auto"/>
              <w:rPr>
                <w:rFonts w:ascii="Times New Roman" w:hAnsi="Times New Roman"/>
                <w:sz w:val="24"/>
                <w:szCs w:val="24"/>
              </w:rPr>
            </w:pPr>
            <w:r w:rsidRPr="00141BED">
              <w:rPr>
                <w:rFonts w:ascii="Times New Roman" w:hAnsi="Times New Roman"/>
                <w:sz w:val="24"/>
                <w:szCs w:val="24"/>
              </w:rPr>
              <w:t>____________________</w:t>
            </w:r>
          </w:p>
        </w:tc>
        <w:tc>
          <w:tcPr>
            <w:tcW w:w="3186" w:type="dxa"/>
          </w:tcPr>
          <w:p w:rsidR="007E5581" w:rsidRPr="00141BED" w:rsidRDefault="007E5581" w:rsidP="00141BED">
            <w:pPr>
              <w:spacing w:after="0" w:line="360" w:lineRule="auto"/>
              <w:jc w:val="both"/>
              <w:rPr>
                <w:rFonts w:ascii="Times New Roman" w:hAnsi="Times New Roman"/>
                <w:sz w:val="24"/>
                <w:szCs w:val="24"/>
                <w:lang w:val="en-US"/>
              </w:rPr>
            </w:pPr>
          </w:p>
          <w:p w:rsidR="00C65F5F" w:rsidRPr="00141BED" w:rsidRDefault="00C65F5F"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V.</w:t>
            </w:r>
            <w:r w:rsidRPr="00141BED">
              <w:rPr>
                <w:rFonts w:ascii="Times New Roman" w:hAnsi="Times New Roman"/>
                <w:sz w:val="24"/>
                <w:szCs w:val="24"/>
              </w:rPr>
              <w:t>К</w:t>
            </w:r>
            <w:r w:rsidRPr="00141BED">
              <w:rPr>
                <w:rFonts w:ascii="Times New Roman" w:hAnsi="Times New Roman"/>
                <w:sz w:val="24"/>
                <w:szCs w:val="24"/>
                <w:lang w:val="en-US"/>
              </w:rPr>
              <w:t xml:space="preserve">. Pankratov (collection and processing                                                                                                       of material)                                                                                           </w:t>
            </w:r>
          </w:p>
          <w:p w:rsidR="00C65F5F" w:rsidRPr="00141BED" w:rsidRDefault="00C65F5F" w:rsidP="00141BED">
            <w:pPr>
              <w:pStyle w:val="a8"/>
              <w:spacing w:line="360" w:lineRule="auto"/>
              <w:rPr>
                <w:rFonts w:ascii="Times New Roman" w:hAnsi="Times New Roman"/>
                <w:sz w:val="24"/>
                <w:szCs w:val="24"/>
              </w:rPr>
            </w:pPr>
          </w:p>
        </w:tc>
      </w:tr>
    </w:tbl>
    <w:p w:rsidR="005864A9" w:rsidRPr="00141BED" w:rsidRDefault="005864A9" w:rsidP="00141BED">
      <w:pPr>
        <w:pStyle w:val="a8"/>
        <w:spacing w:line="360" w:lineRule="auto"/>
        <w:rPr>
          <w:rFonts w:ascii="Times New Roman" w:hAnsi="Times New Roman"/>
          <w:sz w:val="24"/>
          <w:szCs w:val="24"/>
        </w:rPr>
      </w:pPr>
    </w:p>
    <w:p w:rsidR="00A820F1" w:rsidRPr="00141BED" w:rsidRDefault="00A820F1" w:rsidP="00141BED">
      <w:pPr>
        <w:widowControl w:val="0"/>
        <w:tabs>
          <w:tab w:val="left" w:pos="862"/>
          <w:tab w:val="left" w:pos="7099"/>
        </w:tabs>
        <w:spacing w:after="0" w:line="360" w:lineRule="auto"/>
        <w:jc w:val="both"/>
        <w:rPr>
          <w:rFonts w:ascii="Times New Roman" w:hAnsi="Times New Roman"/>
          <w:sz w:val="24"/>
          <w:szCs w:val="24"/>
          <w:lang w:val="en-US"/>
        </w:rPr>
      </w:pPr>
    </w:p>
    <w:p w:rsidR="00A820F1" w:rsidRPr="00141BED" w:rsidRDefault="00A820F1" w:rsidP="00141BED">
      <w:pPr>
        <w:widowControl w:val="0"/>
        <w:tabs>
          <w:tab w:val="left" w:pos="862"/>
          <w:tab w:val="left" w:pos="7099"/>
        </w:tabs>
        <w:spacing w:after="0" w:line="360" w:lineRule="auto"/>
        <w:jc w:val="both"/>
        <w:rPr>
          <w:rFonts w:ascii="Times New Roman" w:hAnsi="Times New Roman"/>
          <w:sz w:val="24"/>
          <w:szCs w:val="24"/>
          <w:lang w:val="en-US"/>
        </w:rPr>
      </w:pPr>
    </w:p>
    <w:p w:rsidR="00A820F1" w:rsidRPr="001C4554" w:rsidRDefault="00A820F1" w:rsidP="00141BED">
      <w:pPr>
        <w:spacing w:after="0" w:line="360" w:lineRule="auto"/>
        <w:jc w:val="center"/>
        <w:rPr>
          <w:rFonts w:ascii="Times New Roman" w:hAnsi="Times New Roman"/>
          <w:b/>
          <w:sz w:val="24"/>
          <w:szCs w:val="24"/>
          <w:lang w:val="en-US"/>
        </w:rPr>
      </w:pPr>
      <w:r w:rsidRPr="00141BED">
        <w:rPr>
          <w:rFonts w:ascii="Times New Roman" w:hAnsi="Times New Roman"/>
          <w:sz w:val="24"/>
          <w:szCs w:val="24"/>
          <w:lang w:val="en-US"/>
        </w:rPr>
        <w:br w:type="page"/>
      </w:r>
      <w:r w:rsidR="007D1F30" w:rsidRPr="001C4554">
        <w:rPr>
          <w:rFonts w:ascii="Times New Roman" w:hAnsi="Times New Roman"/>
          <w:b/>
          <w:sz w:val="24"/>
          <w:szCs w:val="24"/>
          <w:lang w:val="en-US"/>
        </w:rPr>
        <w:lastRenderedPageBreak/>
        <w:t>ABSTRUCT</w:t>
      </w:r>
    </w:p>
    <w:p w:rsidR="00A820F1" w:rsidRPr="00141BED" w:rsidRDefault="00A820F1" w:rsidP="00141BED">
      <w:pPr>
        <w:spacing w:after="0" w:line="360" w:lineRule="auto"/>
        <w:ind w:firstLine="567"/>
        <w:jc w:val="both"/>
        <w:rPr>
          <w:rFonts w:ascii="Times New Roman" w:hAnsi="Times New Roman"/>
          <w:sz w:val="24"/>
          <w:szCs w:val="24"/>
          <w:lang w:val="en-US"/>
        </w:rPr>
      </w:pPr>
    </w:p>
    <w:p w:rsidR="00A820F1" w:rsidRPr="00141BED" w:rsidRDefault="006F500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Report </w:t>
      </w:r>
      <w:r w:rsidR="00911CCD">
        <w:rPr>
          <w:rFonts w:ascii="Times New Roman" w:hAnsi="Times New Roman"/>
          <w:sz w:val="24"/>
          <w:szCs w:val="24"/>
          <w:lang w:val="en-US"/>
        </w:rPr>
        <w:t>8</w:t>
      </w:r>
      <w:r w:rsidR="00911CCD" w:rsidRPr="00911CCD">
        <w:rPr>
          <w:rFonts w:ascii="Times New Roman" w:hAnsi="Times New Roman"/>
          <w:sz w:val="24"/>
          <w:szCs w:val="24"/>
          <w:lang w:val="en-US"/>
        </w:rPr>
        <w:t>0</w:t>
      </w:r>
      <w:r w:rsidR="00AB5692" w:rsidRPr="00AB5692">
        <w:rPr>
          <w:rFonts w:ascii="Times New Roman" w:hAnsi="Times New Roman"/>
          <w:sz w:val="24"/>
          <w:szCs w:val="24"/>
          <w:lang w:val="en-US"/>
        </w:rPr>
        <w:t xml:space="preserve"> </w:t>
      </w:r>
      <w:r w:rsidRPr="00141BED">
        <w:rPr>
          <w:rFonts w:ascii="Times New Roman" w:hAnsi="Times New Roman"/>
          <w:sz w:val="24"/>
          <w:szCs w:val="24"/>
          <w:lang w:val="en-US"/>
        </w:rPr>
        <w:t xml:space="preserve">page, </w:t>
      </w:r>
      <w:r w:rsidR="00CC4C77" w:rsidRPr="00CC4C77">
        <w:rPr>
          <w:rFonts w:ascii="Times New Roman" w:hAnsi="Times New Roman"/>
          <w:sz w:val="24"/>
          <w:szCs w:val="24"/>
          <w:lang w:val="en-US"/>
        </w:rPr>
        <w:t xml:space="preserve">20 </w:t>
      </w:r>
      <w:r w:rsidRPr="00141BED">
        <w:rPr>
          <w:rFonts w:ascii="Times New Roman" w:hAnsi="Times New Roman"/>
          <w:sz w:val="24"/>
          <w:szCs w:val="24"/>
          <w:lang w:val="en-US"/>
        </w:rPr>
        <w:t xml:space="preserve">fig., </w:t>
      </w:r>
      <w:r w:rsidR="00CC4C77" w:rsidRPr="00CC6AFB">
        <w:rPr>
          <w:rFonts w:ascii="Times New Roman" w:hAnsi="Times New Roman"/>
          <w:sz w:val="24"/>
          <w:szCs w:val="24"/>
          <w:lang w:val="en-US"/>
        </w:rPr>
        <w:t xml:space="preserve">8 </w:t>
      </w:r>
      <w:r w:rsidRPr="00141BED">
        <w:rPr>
          <w:rFonts w:ascii="Times New Roman" w:hAnsi="Times New Roman"/>
          <w:sz w:val="24"/>
          <w:szCs w:val="24"/>
          <w:lang w:val="en-US"/>
        </w:rPr>
        <w:t>table,</w:t>
      </w:r>
      <w:r w:rsidR="001A19D3" w:rsidRPr="001A19D3">
        <w:rPr>
          <w:rFonts w:ascii="Times New Roman" w:hAnsi="Times New Roman"/>
          <w:sz w:val="24"/>
          <w:szCs w:val="24"/>
          <w:lang w:val="en-US"/>
        </w:rPr>
        <w:t xml:space="preserve"> 67</w:t>
      </w:r>
      <w:r w:rsidRPr="00141BED">
        <w:rPr>
          <w:rFonts w:ascii="Times New Roman" w:hAnsi="Times New Roman"/>
          <w:sz w:val="24"/>
          <w:szCs w:val="24"/>
          <w:lang w:val="en-US"/>
        </w:rPr>
        <w:t xml:space="preserve"> sources, </w:t>
      </w:r>
      <w:r w:rsidR="001A19D3" w:rsidRPr="001A19D3">
        <w:rPr>
          <w:rFonts w:ascii="Times New Roman" w:hAnsi="Times New Roman"/>
          <w:sz w:val="24"/>
          <w:szCs w:val="24"/>
          <w:lang w:val="en-US"/>
        </w:rPr>
        <w:t xml:space="preserve">5 </w:t>
      </w:r>
      <w:r w:rsidRPr="00141BED">
        <w:rPr>
          <w:rFonts w:ascii="Times New Roman" w:hAnsi="Times New Roman"/>
          <w:sz w:val="24"/>
          <w:szCs w:val="24"/>
          <w:lang w:val="en-US"/>
        </w:rPr>
        <w:t>app.</w:t>
      </w:r>
    </w:p>
    <w:p w:rsidR="00A820F1" w:rsidRPr="00141BED" w:rsidRDefault="00A820F1" w:rsidP="00141BED">
      <w:pPr>
        <w:spacing w:after="0" w:line="360" w:lineRule="auto"/>
        <w:jc w:val="both"/>
        <w:rPr>
          <w:rFonts w:ascii="Times New Roman" w:hAnsi="Times New Roman"/>
          <w:sz w:val="24"/>
          <w:szCs w:val="24"/>
          <w:lang w:val="en-US"/>
        </w:rPr>
      </w:pPr>
    </w:p>
    <w:p w:rsidR="006F5006" w:rsidRPr="00AB5692" w:rsidRDefault="006F5006" w:rsidP="001A19D3">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 xml:space="preserve">PINE </w:t>
      </w:r>
      <w:hyperlink r:id="rId9" w:history="1">
        <w:r w:rsidR="007D1F30" w:rsidRPr="00141BED">
          <w:rPr>
            <w:rFonts w:ascii="Times New Roman" w:hAnsi="Times New Roman"/>
            <w:sz w:val="24"/>
            <w:szCs w:val="24"/>
            <w:lang w:val="en-US"/>
          </w:rPr>
          <w:t>STAND</w:t>
        </w:r>
      </w:hyperlink>
      <w:r w:rsidRPr="00141BED">
        <w:rPr>
          <w:rFonts w:ascii="Times New Roman" w:hAnsi="Times New Roman"/>
          <w:sz w:val="24"/>
          <w:szCs w:val="24"/>
          <w:lang w:val="en-US"/>
        </w:rPr>
        <w:t xml:space="preserve">, </w:t>
      </w:r>
      <w:r w:rsidR="00204837" w:rsidRPr="00141BED">
        <w:rPr>
          <w:rFonts w:ascii="Times New Roman" w:hAnsi="Times New Roman"/>
          <w:sz w:val="24"/>
          <w:szCs w:val="24"/>
          <w:lang w:val="en-US"/>
        </w:rPr>
        <w:t>TENDING CUTTINGS</w:t>
      </w:r>
      <w:r w:rsidRPr="00141BED">
        <w:rPr>
          <w:rFonts w:ascii="Times New Roman" w:hAnsi="Times New Roman"/>
          <w:sz w:val="24"/>
          <w:szCs w:val="24"/>
          <w:lang w:val="en-US"/>
        </w:rPr>
        <w:t>, FOREST FIRES, SPACE FACTORS, SOLAR ACTIVITY, DENDROCHRONOLOGY</w:t>
      </w:r>
    </w:p>
    <w:p w:rsidR="00CC6AFB" w:rsidRPr="00AB5692" w:rsidRDefault="00CC6AFB" w:rsidP="00141BED">
      <w:pPr>
        <w:spacing w:after="0" w:line="360" w:lineRule="auto"/>
        <w:rPr>
          <w:rFonts w:ascii="Times New Roman" w:hAnsi="Times New Roman"/>
          <w:sz w:val="24"/>
          <w:szCs w:val="24"/>
          <w:lang w:val="en-US"/>
        </w:rPr>
      </w:pPr>
    </w:p>
    <w:p w:rsidR="00A96105" w:rsidRPr="00141BED" w:rsidRDefault="00A96105"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objects of research were</w:t>
      </w:r>
      <w:r w:rsidR="006D318F" w:rsidRPr="00141BED">
        <w:rPr>
          <w:rFonts w:ascii="Times New Roman" w:hAnsi="Times New Roman"/>
          <w:sz w:val="24"/>
          <w:szCs w:val="24"/>
          <w:lang w:val="en-US"/>
        </w:rPr>
        <w:t xml:space="preserve"> pine stands of the Northern (on</w:t>
      </w:r>
      <w:r w:rsidRPr="00141BED">
        <w:rPr>
          <w:rFonts w:ascii="Times New Roman" w:hAnsi="Times New Roman"/>
          <w:sz w:val="24"/>
          <w:szCs w:val="24"/>
          <w:lang w:val="en-US"/>
        </w:rPr>
        <w:t xml:space="preserve"> the example of MPI "Urumkayskoye FE ", MPI "Malo-Tyuktinskoe FE ", SNNP "Burabay") and East Kazakhstan (on the example of the SFNR "Semey Ormany") regions of Kazakhstan.</w:t>
      </w:r>
    </w:p>
    <w:p w:rsidR="00A96105" w:rsidRPr="00141BED" w:rsidRDefault="00A96105"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The aim of this work is to study the influence of climatic (precipitation, temperature, hydrothermal coefficient), astrophysical (cyclical solar activity) factors, forest fires and </w:t>
      </w:r>
      <w:r w:rsidR="00204837" w:rsidRPr="00141BED">
        <w:rPr>
          <w:rFonts w:ascii="Times New Roman" w:hAnsi="Times New Roman"/>
          <w:sz w:val="24"/>
          <w:szCs w:val="24"/>
          <w:lang w:val="en-US"/>
        </w:rPr>
        <w:t>forestry activities (tending cuttings)</w:t>
      </w:r>
      <w:r w:rsidRPr="00141BED">
        <w:rPr>
          <w:rFonts w:ascii="Times New Roman" w:hAnsi="Times New Roman"/>
          <w:sz w:val="24"/>
          <w:szCs w:val="24"/>
          <w:lang w:val="en-US"/>
        </w:rPr>
        <w:t xml:space="preserve"> on ​​the formation of radial </w:t>
      </w:r>
      <w:r w:rsidR="006D318F" w:rsidRPr="00141BED">
        <w:rPr>
          <w:rFonts w:ascii="Times New Roman" w:hAnsi="Times New Roman"/>
          <w:sz w:val="24"/>
          <w:szCs w:val="24"/>
          <w:lang w:val="en-US"/>
        </w:rPr>
        <w:t xml:space="preserve">increment </w:t>
      </w:r>
      <w:r w:rsidRPr="00141BED">
        <w:rPr>
          <w:rFonts w:ascii="Times New Roman" w:hAnsi="Times New Roman"/>
          <w:sz w:val="24"/>
          <w:szCs w:val="24"/>
          <w:lang w:val="en-US"/>
        </w:rPr>
        <w:t>of Scots pine wood (</w:t>
      </w:r>
      <w:r w:rsidRPr="00141BED">
        <w:rPr>
          <w:rFonts w:ascii="Times New Roman" w:hAnsi="Times New Roman"/>
          <w:i/>
          <w:sz w:val="24"/>
          <w:szCs w:val="24"/>
          <w:lang w:val="en-US"/>
        </w:rPr>
        <w:t>Pinus sylvestris L</w:t>
      </w:r>
      <w:r w:rsidRPr="00141BED">
        <w:rPr>
          <w:rFonts w:ascii="Times New Roman" w:hAnsi="Times New Roman"/>
          <w:sz w:val="24"/>
          <w:szCs w:val="24"/>
          <w:lang w:val="en-US"/>
        </w:rPr>
        <w:t xml:space="preserve">.) by methods of dendrochronological and dendroclimatic analysis. </w:t>
      </w:r>
    </w:p>
    <w:p w:rsidR="00A96105" w:rsidRPr="00141BED" w:rsidRDefault="00A96105"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Research methods: the establishment of trial plots and the determination of forest taxation parameters of forest stands were carried out in accordance with generally accepted methods in forestry. To analyze the influence of climatic and astrophysical factors, as well as silvicultural measures and forest fires on the growth of Scots pine, dendrochronological and dendroclimatic methods were used.</w:t>
      </w:r>
    </w:p>
    <w:p w:rsidR="008303FC" w:rsidRPr="00141BED" w:rsidRDefault="008303FC"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It was revealed that the temperature of the first half of the growing season affects the increase in the radial </w:t>
      </w:r>
      <w:r w:rsidR="00187AC8" w:rsidRPr="00141BED">
        <w:rPr>
          <w:rFonts w:ascii="Times New Roman" w:hAnsi="Times New Roman"/>
          <w:sz w:val="24"/>
          <w:szCs w:val="24"/>
          <w:lang w:val="en-US"/>
        </w:rPr>
        <w:t>increment</w:t>
      </w:r>
      <w:r w:rsidRPr="00141BED">
        <w:rPr>
          <w:rFonts w:ascii="Times New Roman" w:hAnsi="Times New Roman"/>
          <w:sz w:val="24"/>
          <w:szCs w:val="24"/>
          <w:lang w:val="en-US"/>
        </w:rPr>
        <w:t xml:space="preserve"> of pine. Precipitation accelerates the growth of wood less. High intensity tending cuttings has a positive effect on radial </w:t>
      </w:r>
      <w:r w:rsidR="00187AC8" w:rsidRPr="00141BED">
        <w:rPr>
          <w:rFonts w:ascii="Times New Roman" w:hAnsi="Times New Roman"/>
          <w:sz w:val="24"/>
          <w:szCs w:val="24"/>
          <w:lang w:val="en-US"/>
        </w:rPr>
        <w:t>increment</w:t>
      </w:r>
      <w:r w:rsidRPr="00141BED">
        <w:rPr>
          <w:rFonts w:ascii="Times New Roman" w:hAnsi="Times New Roman"/>
          <w:sz w:val="24"/>
          <w:szCs w:val="24"/>
          <w:lang w:val="en-US"/>
        </w:rPr>
        <w:t xml:space="preserve"> in natural plantations of Scots pine, while moderate-intensity felling has a positive effect on artificial stands. The post-fire state of forest stands indicates damage and uneven development of radial </w:t>
      </w:r>
      <w:r w:rsidR="00187AC8" w:rsidRPr="00141BED">
        <w:rPr>
          <w:rFonts w:ascii="Times New Roman" w:hAnsi="Times New Roman"/>
          <w:sz w:val="24"/>
          <w:szCs w:val="24"/>
          <w:lang w:val="en-US"/>
        </w:rPr>
        <w:t xml:space="preserve">increment </w:t>
      </w:r>
      <w:r w:rsidRPr="00141BED">
        <w:rPr>
          <w:rFonts w:ascii="Times New Roman" w:hAnsi="Times New Roman"/>
          <w:sz w:val="24"/>
          <w:szCs w:val="24"/>
          <w:lang w:val="en-US"/>
        </w:rPr>
        <w:t xml:space="preserve">on </w:t>
      </w:r>
      <w:r w:rsidR="00537854" w:rsidRPr="00141BED">
        <w:rPr>
          <w:rFonts w:ascii="Times New Roman" w:hAnsi="Times New Roman"/>
          <w:sz w:val="24"/>
          <w:szCs w:val="24"/>
          <w:lang w:val="en-US"/>
        </w:rPr>
        <w:t>tree stem</w:t>
      </w:r>
      <w:r w:rsidRPr="00141BED">
        <w:rPr>
          <w:rFonts w:ascii="Times New Roman" w:hAnsi="Times New Roman"/>
          <w:sz w:val="24"/>
          <w:szCs w:val="24"/>
          <w:lang w:val="en-US"/>
        </w:rPr>
        <w:t xml:space="preserve"> that have been subjected to fire drying. For the conditions of East Kazakhstan, the maximum </w:t>
      </w:r>
      <w:r w:rsidR="00187AC8" w:rsidRPr="00141BED">
        <w:rPr>
          <w:rFonts w:ascii="Times New Roman" w:hAnsi="Times New Roman"/>
          <w:sz w:val="24"/>
          <w:szCs w:val="24"/>
          <w:lang w:val="en-US"/>
        </w:rPr>
        <w:t>increment</w:t>
      </w:r>
      <w:r w:rsidRPr="00141BED">
        <w:rPr>
          <w:rFonts w:ascii="Times New Roman" w:hAnsi="Times New Roman"/>
          <w:sz w:val="24"/>
          <w:szCs w:val="24"/>
          <w:lang w:val="en-US"/>
        </w:rPr>
        <w:t xml:space="preserve"> of Scots pine was observed on the branches of the decline in so</w:t>
      </w:r>
      <w:r w:rsidR="00187AC8" w:rsidRPr="00141BED">
        <w:rPr>
          <w:rFonts w:ascii="Times New Roman" w:hAnsi="Times New Roman"/>
          <w:sz w:val="24"/>
          <w:szCs w:val="24"/>
          <w:lang w:val="en-US"/>
        </w:rPr>
        <w:t>lar activity, and the smallest increment</w:t>
      </w:r>
      <w:r w:rsidRPr="00141BED">
        <w:rPr>
          <w:rFonts w:ascii="Times New Roman" w:hAnsi="Times New Roman"/>
          <w:sz w:val="24"/>
          <w:szCs w:val="24"/>
          <w:lang w:val="en-US"/>
        </w:rPr>
        <w:t xml:space="preserve"> was observed on the branches of growth. In Northern Kazakhstan, approximately the same amount of minimum (29.5%) and maximum increments (25.9%) falls on the years with maximum solar activity, so it is impossible to state with confidence that any phase significantly affects the radial growth of Scots pine in this region. </w:t>
      </w:r>
    </w:p>
    <w:p w:rsidR="008303FC" w:rsidRPr="00141BED" w:rsidRDefault="008303FC"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 xml:space="preserve">Scope – forestry, SPNA institutions, forest management, design organizations, SFI. </w:t>
      </w:r>
    </w:p>
    <w:p w:rsidR="008303FC" w:rsidRPr="00141BED" w:rsidRDefault="008303FC" w:rsidP="00141BED">
      <w:pPr>
        <w:spacing w:after="0" w:line="360" w:lineRule="auto"/>
        <w:jc w:val="center"/>
        <w:rPr>
          <w:rFonts w:ascii="Times New Roman" w:hAnsi="Times New Roman"/>
          <w:sz w:val="24"/>
          <w:szCs w:val="24"/>
          <w:lang w:val="en-US"/>
        </w:rPr>
      </w:pPr>
    </w:p>
    <w:p w:rsidR="008303FC" w:rsidRPr="00141BED" w:rsidRDefault="008303FC" w:rsidP="00141BED">
      <w:pPr>
        <w:spacing w:after="0" w:line="360" w:lineRule="auto"/>
        <w:jc w:val="center"/>
        <w:rPr>
          <w:rFonts w:ascii="Times New Roman" w:hAnsi="Times New Roman"/>
          <w:sz w:val="24"/>
          <w:szCs w:val="24"/>
          <w:lang w:val="en-US"/>
        </w:rPr>
      </w:pPr>
    </w:p>
    <w:p w:rsidR="001A1029" w:rsidRPr="00141BED" w:rsidRDefault="001A1029" w:rsidP="00141BED">
      <w:pPr>
        <w:spacing w:after="0" w:line="360" w:lineRule="auto"/>
        <w:jc w:val="center"/>
        <w:rPr>
          <w:rFonts w:ascii="Times New Roman" w:hAnsi="Times New Roman"/>
          <w:sz w:val="24"/>
          <w:szCs w:val="24"/>
          <w:lang w:val="en-US"/>
        </w:rPr>
      </w:pPr>
    </w:p>
    <w:p w:rsidR="008303FC" w:rsidRPr="00141BED" w:rsidRDefault="008303FC" w:rsidP="00141BED">
      <w:pPr>
        <w:spacing w:after="0" w:line="360" w:lineRule="auto"/>
        <w:jc w:val="center"/>
        <w:rPr>
          <w:rFonts w:ascii="Times New Roman" w:hAnsi="Times New Roman"/>
          <w:sz w:val="24"/>
          <w:szCs w:val="24"/>
          <w:lang w:val="en-US"/>
        </w:rPr>
      </w:pPr>
    </w:p>
    <w:p w:rsidR="00A820F1" w:rsidRPr="001C4554" w:rsidRDefault="001A1029" w:rsidP="00141BED">
      <w:pPr>
        <w:spacing w:after="0" w:line="360" w:lineRule="auto"/>
        <w:jc w:val="center"/>
        <w:rPr>
          <w:rFonts w:ascii="Times New Roman" w:hAnsi="Times New Roman"/>
          <w:b/>
          <w:caps/>
          <w:sz w:val="24"/>
          <w:szCs w:val="24"/>
        </w:rPr>
      </w:pPr>
      <w:r w:rsidRPr="001C4554">
        <w:rPr>
          <w:rFonts w:ascii="Times New Roman" w:hAnsi="Times New Roman"/>
          <w:b/>
          <w:caps/>
          <w:sz w:val="24"/>
          <w:szCs w:val="24"/>
        </w:rPr>
        <w:t>CONTENT</w:t>
      </w:r>
    </w:p>
    <w:p w:rsidR="002A1CA8" w:rsidRDefault="002A1CA8" w:rsidP="00141BED">
      <w:pPr>
        <w:spacing w:after="0" w:line="360" w:lineRule="auto"/>
        <w:jc w:val="center"/>
        <w:rPr>
          <w:rFonts w:ascii="Times New Roman" w:hAnsi="Times New Roman"/>
          <w:caps/>
          <w:sz w:val="24"/>
          <w:szCs w:val="24"/>
        </w:rPr>
      </w:pPr>
    </w:p>
    <w:tbl>
      <w:tblPr>
        <w:tblW w:w="0" w:type="auto"/>
        <w:tblInd w:w="135" w:type="dxa"/>
        <w:tblLook w:val="0000" w:firstRow="0" w:lastRow="0" w:firstColumn="0" w:lastColumn="0" w:noHBand="0" w:noVBand="0"/>
      </w:tblPr>
      <w:tblGrid>
        <w:gridCol w:w="8478"/>
        <w:gridCol w:w="709"/>
      </w:tblGrid>
      <w:tr w:rsidR="002A1CA8" w:rsidRPr="00141BED" w:rsidTr="00B016E0">
        <w:trPr>
          <w:trHeight w:val="300"/>
        </w:trPr>
        <w:tc>
          <w:tcPr>
            <w:tcW w:w="8478" w:type="dxa"/>
          </w:tcPr>
          <w:p w:rsidR="002A1CA8" w:rsidRPr="00141BED" w:rsidRDefault="00911CCD" w:rsidP="007E70A7">
            <w:pPr>
              <w:pStyle w:val="ad"/>
              <w:spacing w:line="360" w:lineRule="auto"/>
              <w:jc w:val="both"/>
              <w:rPr>
                <w:sz w:val="24"/>
                <w:szCs w:val="24"/>
                <w:lang w:val="en-US" w:eastAsia="ru-RU"/>
              </w:rPr>
            </w:pPr>
            <w:proofErr w:type="gramStart"/>
            <w:r>
              <w:rPr>
                <w:sz w:val="24"/>
                <w:szCs w:val="24"/>
                <w:lang w:val="en-US"/>
              </w:rPr>
              <w:t>list</w:t>
            </w:r>
            <w:proofErr w:type="gramEnd"/>
            <w:r>
              <w:rPr>
                <w:sz w:val="24"/>
                <w:szCs w:val="24"/>
                <w:lang w:val="en-US"/>
              </w:rPr>
              <w:t xml:space="preserve"> of s</w:t>
            </w:r>
            <w:r w:rsidR="002A1CA8" w:rsidRPr="00141BED">
              <w:rPr>
                <w:sz w:val="24"/>
                <w:szCs w:val="24"/>
              </w:rPr>
              <w:t>ymbols and abbreviations ………………………………………</w:t>
            </w:r>
            <w:r w:rsidR="002A1CA8" w:rsidRPr="00141BED">
              <w:rPr>
                <w:sz w:val="24"/>
                <w:szCs w:val="24"/>
                <w:lang w:val="en-US"/>
              </w:rPr>
              <w:t>………</w:t>
            </w:r>
          </w:p>
        </w:tc>
        <w:tc>
          <w:tcPr>
            <w:tcW w:w="709" w:type="dxa"/>
          </w:tcPr>
          <w:p w:rsidR="002A1CA8" w:rsidRP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5</w:t>
            </w:r>
          </w:p>
        </w:tc>
      </w:tr>
      <w:tr w:rsidR="002A1CA8" w:rsidRPr="00141BED" w:rsidTr="00B016E0">
        <w:trPr>
          <w:trHeight w:val="300"/>
        </w:trPr>
        <w:tc>
          <w:tcPr>
            <w:tcW w:w="8478" w:type="dxa"/>
          </w:tcPr>
          <w:p w:rsidR="002A1CA8" w:rsidRPr="00141BED" w:rsidRDefault="002A1CA8" w:rsidP="007E70A7">
            <w:pPr>
              <w:pStyle w:val="ad"/>
              <w:spacing w:line="360" w:lineRule="auto"/>
              <w:jc w:val="both"/>
              <w:rPr>
                <w:sz w:val="24"/>
                <w:szCs w:val="24"/>
                <w:lang w:val="en-US" w:eastAsia="ru-RU"/>
              </w:rPr>
            </w:pPr>
            <w:r w:rsidRPr="00141BED">
              <w:rPr>
                <w:sz w:val="24"/>
                <w:szCs w:val="24"/>
                <w:lang w:val="en-US"/>
              </w:rPr>
              <w:t>I</w:t>
            </w:r>
            <w:r w:rsidRPr="00141BED">
              <w:rPr>
                <w:sz w:val="24"/>
                <w:szCs w:val="24"/>
              </w:rPr>
              <w:t>ntroduction</w:t>
            </w:r>
            <w:r w:rsidRPr="00141BED">
              <w:rPr>
                <w:sz w:val="24"/>
                <w:szCs w:val="24"/>
                <w:lang w:val="en-US" w:eastAsia="ru-RU"/>
              </w:rPr>
              <w:t xml:space="preserve"> ………………………………………………………………       </w:t>
            </w:r>
          </w:p>
        </w:tc>
        <w:tc>
          <w:tcPr>
            <w:tcW w:w="709" w:type="dxa"/>
          </w:tcPr>
          <w:p w:rsidR="002A1CA8" w:rsidRP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6</w:t>
            </w:r>
          </w:p>
        </w:tc>
      </w:tr>
      <w:tr w:rsidR="002A1CA8" w:rsidRPr="00911CCD" w:rsidTr="00B016E0">
        <w:trPr>
          <w:trHeight w:val="300"/>
        </w:trPr>
        <w:tc>
          <w:tcPr>
            <w:tcW w:w="8478" w:type="dxa"/>
          </w:tcPr>
          <w:p w:rsidR="002A1CA8" w:rsidRPr="00911CCD" w:rsidRDefault="00911CCD" w:rsidP="007E70A7">
            <w:pPr>
              <w:pStyle w:val="af0"/>
              <w:spacing w:line="360" w:lineRule="auto"/>
              <w:rPr>
                <w:sz w:val="24"/>
                <w:szCs w:val="24"/>
                <w:lang w:val="en-US" w:eastAsia="ru-RU"/>
              </w:rPr>
            </w:pPr>
            <w:r w:rsidRPr="00911CCD">
              <w:rPr>
                <w:sz w:val="24"/>
                <w:szCs w:val="24"/>
                <w:lang w:val="en-US"/>
              </w:rPr>
              <w:t>Main part of the research report</w:t>
            </w:r>
            <w:r>
              <w:rPr>
                <w:sz w:val="24"/>
                <w:szCs w:val="24"/>
                <w:lang w:val="en-US" w:eastAsia="ru-RU"/>
              </w:rPr>
              <w:t xml:space="preserve"> ……………………………………………</w:t>
            </w:r>
          </w:p>
        </w:tc>
        <w:tc>
          <w:tcPr>
            <w:tcW w:w="709" w:type="dxa"/>
          </w:tcPr>
          <w:p w:rsidR="002A1CA8" w:rsidRPr="00594490"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lang w:val="en-US"/>
              </w:rPr>
              <w:t>1</w:t>
            </w:r>
            <w:r>
              <w:rPr>
                <w:rFonts w:ascii="Times New Roman" w:hAnsi="Times New Roman"/>
                <w:caps/>
                <w:sz w:val="24"/>
                <w:szCs w:val="24"/>
              </w:rPr>
              <w:t>0</w:t>
            </w:r>
          </w:p>
        </w:tc>
      </w:tr>
      <w:tr w:rsidR="002A1CA8" w:rsidRPr="00911CCD" w:rsidTr="00B016E0">
        <w:trPr>
          <w:trHeight w:val="300"/>
        </w:trPr>
        <w:tc>
          <w:tcPr>
            <w:tcW w:w="8478" w:type="dxa"/>
          </w:tcPr>
          <w:p w:rsidR="002A1CA8" w:rsidRPr="00141BED" w:rsidRDefault="002A1CA8" w:rsidP="00141BED">
            <w:pPr>
              <w:spacing w:after="0" w:line="360" w:lineRule="auto"/>
              <w:ind w:firstLine="294"/>
              <w:jc w:val="both"/>
              <w:rPr>
                <w:rFonts w:ascii="Times New Roman" w:hAnsi="Times New Roman"/>
                <w:sz w:val="24"/>
                <w:szCs w:val="24"/>
                <w:lang w:val="en-US"/>
              </w:rPr>
            </w:pPr>
            <w:r w:rsidRPr="00141BED">
              <w:rPr>
                <w:rFonts w:ascii="Times New Roman" w:hAnsi="Times New Roman"/>
                <w:sz w:val="24"/>
                <w:szCs w:val="24"/>
                <w:lang w:val="en-US"/>
              </w:rPr>
              <w:t>1 Types of works carried out....................................................................</w:t>
            </w:r>
          </w:p>
        </w:tc>
        <w:tc>
          <w:tcPr>
            <w:tcW w:w="709" w:type="dxa"/>
          </w:tcPr>
          <w:p w:rsidR="002A1CA8" w:rsidRPr="00594490"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lang w:val="en-US"/>
              </w:rPr>
              <w:t>1</w:t>
            </w:r>
            <w:r>
              <w:rPr>
                <w:rFonts w:ascii="Times New Roman" w:hAnsi="Times New Roman"/>
                <w:caps/>
                <w:sz w:val="24"/>
                <w:szCs w:val="24"/>
              </w:rPr>
              <w:t>0</w:t>
            </w:r>
          </w:p>
        </w:tc>
      </w:tr>
      <w:tr w:rsidR="002A1CA8" w:rsidRPr="00141BED" w:rsidTr="00B016E0">
        <w:trPr>
          <w:trHeight w:val="300"/>
        </w:trPr>
        <w:tc>
          <w:tcPr>
            <w:tcW w:w="8478" w:type="dxa"/>
          </w:tcPr>
          <w:p w:rsidR="002A1CA8" w:rsidRPr="00141BED" w:rsidRDefault="002A1CA8" w:rsidP="00141BED">
            <w:pPr>
              <w:spacing w:after="0" w:line="360" w:lineRule="auto"/>
              <w:ind w:firstLine="294"/>
              <w:jc w:val="both"/>
              <w:rPr>
                <w:rFonts w:ascii="Times New Roman" w:hAnsi="Times New Roman"/>
                <w:sz w:val="24"/>
                <w:szCs w:val="24"/>
                <w:lang w:val="en-US"/>
              </w:rPr>
            </w:pPr>
            <w:r w:rsidRPr="00141BED">
              <w:rPr>
                <w:rFonts w:ascii="Times New Roman" w:hAnsi="Times New Roman"/>
                <w:sz w:val="24"/>
                <w:szCs w:val="24"/>
                <w:lang w:val="en-US"/>
              </w:rPr>
              <w:t>2 Objects and methods of research ….……..……………........................</w:t>
            </w:r>
          </w:p>
        </w:tc>
        <w:tc>
          <w:tcPr>
            <w:tcW w:w="709" w:type="dxa"/>
          </w:tcPr>
          <w:p w:rsidR="002A1CA8" w:rsidRPr="002A1CA8" w:rsidRDefault="002A1CA8" w:rsidP="00141BED">
            <w:pPr>
              <w:spacing w:after="0" w:line="360" w:lineRule="auto"/>
              <w:jc w:val="both"/>
              <w:rPr>
                <w:rFonts w:ascii="Times New Roman" w:hAnsi="Times New Roman"/>
                <w:caps/>
                <w:sz w:val="24"/>
                <w:szCs w:val="24"/>
              </w:rPr>
            </w:pPr>
            <w:r>
              <w:rPr>
                <w:rFonts w:ascii="Times New Roman" w:hAnsi="Times New Roman"/>
                <w:caps/>
                <w:sz w:val="24"/>
                <w:szCs w:val="24"/>
              </w:rPr>
              <w:t>11</w:t>
            </w:r>
          </w:p>
        </w:tc>
      </w:tr>
      <w:tr w:rsidR="002A1CA8" w:rsidRPr="00141BED" w:rsidTr="00B016E0">
        <w:trPr>
          <w:trHeight w:val="300"/>
        </w:trPr>
        <w:tc>
          <w:tcPr>
            <w:tcW w:w="8478" w:type="dxa"/>
          </w:tcPr>
          <w:p w:rsidR="002A1CA8" w:rsidRPr="00141BED" w:rsidRDefault="002A1CA8" w:rsidP="00CC6AFB">
            <w:pPr>
              <w:spacing w:after="0" w:line="360" w:lineRule="auto"/>
              <w:ind w:firstLine="294"/>
              <w:jc w:val="both"/>
              <w:rPr>
                <w:rFonts w:ascii="Times New Roman" w:hAnsi="Times New Roman"/>
                <w:sz w:val="24"/>
                <w:szCs w:val="24"/>
                <w:lang w:val="en-US"/>
              </w:rPr>
            </w:pPr>
            <w:r w:rsidRPr="00141BED">
              <w:rPr>
                <w:rFonts w:ascii="Times New Roman" w:hAnsi="Times New Roman"/>
                <w:sz w:val="24"/>
                <w:szCs w:val="24"/>
                <w:lang w:val="en-US"/>
              </w:rPr>
              <w:t>3 Results of research …………………………………............................</w:t>
            </w:r>
          </w:p>
        </w:tc>
        <w:tc>
          <w:tcPr>
            <w:tcW w:w="709" w:type="dxa"/>
          </w:tcPr>
          <w:p w:rsidR="002A1CA8" w:rsidRPr="00141BED"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13</w:t>
            </w:r>
          </w:p>
        </w:tc>
      </w:tr>
      <w:tr w:rsidR="002A1CA8" w:rsidRPr="00141BED" w:rsidTr="00B016E0">
        <w:trPr>
          <w:trHeight w:val="300"/>
        </w:trPr>
        <w:tc>
          <w:tcPr>
            <w:tcW w:w="8478" w:type="dxa"/>
          </w:tcPr>
          <w:p w:rsidR="002A1CA8" w:rsidRPr="00141BED" w:rsidRDefault="002A1CA8" w:rsidP="00141BED">
            <w:pPr>
              <w:spacing w:after="0" w:line="360" w:lineRule="auto"/>
              <w:ind w:firstLine="577"/>
              <w:jc w:val="both"/>
              <w:rPr>
                <w:rFonts w:ascii="Times New Roman" w:hAnsi="Times New Roman"/>
                <w:caps/>
                <w:sz w:val="24"/>
                <w:szCs w:val="24"/>
                <w:lang w:val="en-US"/>
              </w:rPr>
            </w:pPr>
            <w:r w:rsidRPr="00141BED">
              <w:rPr>
                <w:rFonts w:ascii="Times New Roman" w:hAnsi="Times New Roman"/>
                <w:sz w:val="24"/>
                <w:szCs w:val="24"/>
                <w:lang w:val="en-US"/>
              </w:rPr>
              <w:t>3.1 Analysis of the influence of climatic factors on the dynamics of radial increment of scots pine.....................................................................</w:t>
            </w:r>
          </w:p>
        </w:tc>
        <w:tc>
          <w:tcPr>
            <w:tcW w:w="709" w:type="dxa"/>
          </w:tcPr>
          <w:p w:rsidR="002A1CA8" w:rsidRPr="00AB5692" w:rsidRDefault="002A1CA8" w:rsidP="00141BED">
            <w:pPr>
              <w:spacing w:after="0" w:line="360" w:lineRule="auto"/>
              <w:jc w:val="both"/>
              <w:rPr>
                <w:rFonts w:ascii="Times New Roman" w:hAnsi="Times New Roman"/>
                <w:caps/>
                <w:sz w:val="24"/>
                <w:szCs w:val="24"/>
                <w:lang w:val="en-US"/>
              </w:rPr>
            </w:pPr>
          </w:p>
          <w:p w:rsidR="002A1CA8" w:rsidRP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13</w:t>
            </w:r>
          </w:p>
        </w:tc>
      </w:tr>
      <w:tr w:rsidR="002A1CA8" w:rsidRPr="00141BED" w:rsidTr="00B016E0">
        <w:trPr>
          <w:trHeight w:val="300"/>
        </w:trPr>
        <w:tc>
          <w:tcPr>
            <w:tcW w:w="8478" w:type="dxa"/>
          </w:tcPr>
          <w:p w:rsidR="002A1CA8" w:rsidRPr="002A1CA8" w:rsidRDefault="002A1CA8" w:rsidP="00141BED">
            <w:pPr>
              <w:spacing w:after="0" w:line="360" w:lineRule="auto"/>
              <w:ind w:firstLine="577"/>
              <w:jc w:val="both"/>
              <w:rPr>
                <w:rFonts w:ascii="Times New Roman" w:hAnsi="Times New Roman"/>
                <w:caps/>
                <w:sz w:val="24"/>
                <w:szCs w:val="24"/>
                <w:lang w:val="en-US"/>
              </w:rPr>
            </w:pPr>
            <w:r w:rsidRPr="00141BED">
              <w:rPr>
                <w:rFonts w:ascii="Times New Roman" w:hAnsi="Times New Roman"/>
                <w:sz w:val="24"/>
                <w:szCs w:val="24"/>
                <w:lang w:val="en-US"/>
              </w:rPr>
              <w:t xml:space="preserve">3.2 Characteristics of the effect of forest fires on the radial increment of scots </w:t>
            </w:r>
            <w:proofErr w:type="gramStart"/>
            <w:r w:rsidRPr="00141BED">
              <w:rPr>
                <w:rFonts w:ascii="Times New Roman" w:hAnsi="Times New Roman"/>
                <w:sz w:val="24"/>
                <w:szCs w:val="24"/>
                <w:lang w:val="en-US"/>
              </w:rPr>
              <w:t>pine .................................................................................................</w:t>
            </w:r>
            <w:proofErr w:type="gramEnd"/>
          </w:p>
        </w:tc>
        <w:tc>
          <w:tcPr>
            <w:tcW w:w="709" w:type="dxa"/>
          </w:tcPr>
          <w:p w:rsidR="002A1CA8" w:rsidRPr="002A1CA8" w:rsidRDefault="002A1CA8" w:rsidP="00141BED">
            <w:pPr>
              <w:spacing w:after="0" w:line="360" w:lineRule="auto"/>
              <w:jc w:val="both"/>
              <w:rPr>
                <w:rFonts w:ascii="Times New Roman" w:hAnsi="Times New Roman"/>
                <w:caps/>
                <w:sz w:val="24"/>
                <w:szCs w:val="24"/>
                <w:lang w:val="en-US"/>
              </w:rPr>
            </w:pPr>
          </w:p>
          <w:p w:rsidR="002A1CA8" w:rsidRP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18</w:t>
            </w:r>
          </w:p>
        </w:tc>
      </w:tr>
      <w:tr w:rsidR="002A1CA8" w:rsidRPr="00141BED" w:rsidTr="00B016E0">
        <w:trPr>
          <w:trHeight w:val="300"/>
        </w:trPr>
        <w:tc>
          <w:tcPr>
            <w:tcW w:w="8478" w:type="dxa"/>
          </w:tcPr>
          <w:p w:rsidR="002A1CA8" w:rsidRPr="002A1CA8" w:rsidRDefault="002A1CA8" w:rsidP="00141BED">
            <w:pPr>
              <w:spacing w:after="0" w:line="360" w:lineRule="auto"/>
              <w:ind w:firstLine="577"/>
              <w:jc w:val="both"/>
              <w:rPr>
                <w:rFonts w:ascii="Times New Roman" w:hAnsi="Times New Roman"/>
                <w:caps/>
                <w:sz w:val="24"/>
                <w:szCs w:val="24"/>
                <w:lang w:val="en-US"/>
              </w:rPr>
            </w:pPr>
            <w:r w:rsidRPr="00141BED">
              <w:rPr>
                <w:rFonts w:ascii="Times New Roman" w:hAnsi="Times New Roman"/>
                <w:sz w:val="24"/>
                <w:szCs w:val="24"/>
                <w:lang w:val="en-US"/>
              </w:rPr>
              <w:t>3.3 Assessment of the impact of tending cuttings of different intensity on the dynamics of annual radial increment of scots pine using tree-ring chron</w:t>
            </w:r>
            <w:r>
              <w:rPr>
                <w:rFonts w:ascii="Times New Roman" w:hAnsi="Times New Roman"/>
                <w:sz w:val="24"/>
                <w:szCs w:val="24"/>
                <w:lang w:val="en-US"/>
              </w:rPr>
              <w:t>ologies..........</w:t>
            </w:r>
          </w:p>
        </w:tc>
        <w:tc>
          <w:tcPr>
            <w:tcW w:w="709" w:type="dxa"/>
          </w:tcPr>
          <w:p w:rsidR="002A1CA8" w:rsidRPr="002A1CA8" w:rsidRDefault="002A1CA8" w:rsidP="00141BED">
            <w:pPr>
              <w:spacing w:after="0" w:line="360" w:lineRule="auto"/>
              <w:jc w:val="both"/>
              <w:rPr>
                <w:rFonts w:ascii="Times New Roman" w:hAnsi="Times New Roman"/>
                <w:caps/>
                <w:sz w:val="24"/>
                <w:szCs w:val="24"/>
                <w:lang w:val="en-US"/>
              </w:rPr>
            </w:pPr>
          </w:p>
          <w:p w:rsidR="002A1CA8" w:rsidRP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21</w:t>
            </w:r>
          </w:p>
        </w:tc>
      </w:tr>
      <w:tr w:rsidR="002A1CA8" w:rsidRPr="00141BED" w:rsidTr="00B016E0">
        <w:trPr>
          <w:trHeight w:val="300"/>
        </w:trPr>
        <w:tc>
          <w:tcPr>
            <w:tcW w:w="8478" w:type="dxa"/>
          </w:tcPr>
          <w:p w:rsidR="002A1CA8" w:rsidRPr="00141BED" w:rsidRDefault="002A1CA8" w:rsidP="00141BED">
            <w:pPr>
              <w:spacing w:after="0" w:line="360" w:lineRule="auto"/>
              <w:ind w:firstLine="577"/>
              <w:jc w:val="both"/>
              <w:rPr>
                <w:rFonts w:ascii="Times New Roman" w:hAnsi="Times New Roman"/>
                <w:sz w:val="24"/>
                <w:szCs w:val="24"/>
                <w:lang w:val="en-US"/>
              </w:rPr>
            </w:pPr>
            <w:r w:rsidRPr="00141BED">
              <w:rPr>
                <w:rFonts w:ascii="Times New Roman" w:hAnsi="Times New Roman"/>
                <w:sz w:val="24"/>
                <w:szCs w:val="24"/>
                <w:lang w:val="en-US"/>
              </w:rPr>
              <w:t>3.4 Study of the influence of astrophysical factors (cyclicality of solar activity) on the formation of the radial growth of Scots pine wood………</w:t>
            </w:r>
            <w:r>
              <w:rPr>
                <w:rFonts w:ascii="Times New Roman" w:hAnsi="Times New Roman"/>
                <w:sz w:val="24"/>
                <w:szCs w:val="24"/>
                <w:lang w:val="en-US"/>
              </w:rPr>
              <w:t>…</w:t>
            </w:r>
            <w:r w:rsidRPr="002A1CA8">
              <w:rPr>
                <w:rFonts w:ascii="Times New Roman" w:hAnsi="Times New Roman"/>
                <w:sz w:val="24"/>
                <w:szCs w:val="24"/>
                <w:lang w:val="en-US"/>
              </w:rPr>
              <w:t>……………</w:t>
            </w:r>
            <w:r w:rsidRPr="00141BED">
              <w:rPr>
                <w:rFonts w:ascii="Times New Roman" w:hAnsi="Times New Roman"/>
                <w:sz w:val="24"/>
                <w:szCs w:val="24"/>
                <w:lang w:val="en-US"/>
              </w:rPr>
              <w:t xml:space="preserve">. </w:t>
            </w:r>
          </w:p>
        </w:tc>
        <w:tc>
          <w:tcPr>
            <w:tcW w:w="709" w:type="dxa"/>
          </w:tcPr>
          <w:p w:rsidR="002A1CA8" w:rsidRPr="002A1CA8" w:rsidRDefault="002A1CA8" w:rsidP="00141BED">
            <w:pPr>
              <w:spacing w:after="0" w:line="360" w:lineRule="auto"/>
              <w:jc w:val="both"/>
              <w:rPr>
                <w:rFonts w:ascii="Times New Roman" w:hAnsi="Times New Roman"/>
                <w:caps/>
                <w:sz w:val="24"/>
                <w:szCs w:val="24"/>
                <w:lang w:val="en-US"/>
              </w:rPr>
            </w:pPr>
          </w:p>
          <w:p w:rsidR="002A1CA8" w:rsidRPr="002A1CA8" w:rsidRDefault="002A1CA8" w:rsidP="00141BED">
            <w:pPr>
              <w:spacing w:after="0" w:line="360" w:lineRule="auto"/>
              <w:jc w:val="both"/>
              <w:rPr>
                <w:rFonts w:ascii="Times New Roman" w:hAnsi="Times New Roman"/>
                <w:caps/>
                <w:sz w:val="24"/>
                <w:szCs w:val="24"/>
              </w:rPr>
            </w:pPr>
            <w:r>
              <w:rPr>
                <w:rFonts w:ascii="Times New Roman" w:hAnsi="Times New Roman"/>
                <w:caps/>
                <w:sz w:val="24"/>
                <w:szCs w:val="24"/>
              </w:rPr>
              <w:t>30</w:t>
            </w:r>
          </w:p>
        </w:tc>
      </w:tr>
      <w:tr w:rsidR="002A1CA8" w:rsidRPr="00141BED" w:rsidTr="00B016E0">
        <w:trPr>
          <w:trHeight w:val="300"/>
        </w:trPr>
        <w:tc>
          <w:tcPr>
            <w:tcW w:w="8478" w:type="dxa"/>
          </w:tcPr>
          <w:p w:rsidR="002A1CA8" w:rsidRPr="00CC6AFB" w:rsidRDefault="002A1CA8" w:rsidP="00141BED">
            <w:pPr>
              <w:spacing w:after="0" w:line="360" w:lineRule="auto"/>
              <w:ind w:firstLine="577"/>
              <w:jc w:val="both"/>
              <w:rPr>
                <w:rFonts w:ascii="Times New Roman" w:hAnsi="Times New Roman"/>
                <w:sz w:val="24"/>
                <w:szCs w:val="24"/>
                <w:lang w:val="en-US"/>
              </w:rPr>
            </w:pPr>
            <w:r w:rsidRPr="00141BED">
              <w:rPr>
                <w:rFonts w:ascii="Times New Roman" w:hAnsi="Times New Roman"/>
                <w:sz w:val="24"/>
                <w:szCs w:val="24"/>
                <w:lang w:val="en-US"/>
              </w:rPr>
              <w:t>3.5 Development of a forecast for the development of pine plantations based on the study of their growth as a result of dendrochronological studies…</w:t>
            </w:r>
            <w:r w:rsidRPr="00CC6AFB">
              <w:rPr>
                <w:rFonts w:ascii="Times New Roman" w:hAnsi="Times New Roman"/>
                <w:sz w:val="24"/>
                <w:szCs w:val="24"/>
                <w:lang w:val="en-US"/>
              </w:rPr>
              <w:t>………….</w:t>
            </w:r>
          </w:p>
        </w:tc>
        <w:tc>
          <w:tcPr>
            <w:tcW w:w="709" w:type="dxa"/>
          </w:tcPr>
          <w:p w:rsidR="002A1CA8" w:rsidRPr="00AB5692" w:rsidRDefault="002A1CA8" w:rsidP="00141BED">
            <w:pPr>
              <w:spacing w:after="0" w:line="360" w:lineRule="auto"/>
              <w:jc w:val="both"/>
              <w:rPr>
                <w:rFonts w:ascii="Times New Roman" w:hAnsi="Times New Roman"/>
                <w:caps/>
                <w:sz w:val="24"/>
                <w:szCs w:val="24"/>
                <w:lang w:val="en-US"/>
              </w:rPr>
            </w:pPr>
          </w:p>
          <w:p w:rsidR="002A1CA8" w:rsidRP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34</w:t>
            </w:r>
          </w:p>
        </w:tc>
      </w:tr>
      <w:tr w:rsidR="002A1CA8" w:rsidRPr="00141BED" w:rsidTr="00B016E0">
        <w:trPr>
          <w:trHeight w:val="300"/>
        </w:trPr>
        <w:tc>
          <w:tcPr>
            <w:tcW w:w="8478" w:type="dxa"/>
          </w:tcPr>
          <w:p w:rsidR="002A1CA8" w:rsidRPr="002A1CA8" w:rsidRDefault="002A1CA8" w:rsidP="00141BED">
            <w:pPr>
              <w:pStyle w:val="af0"/>
              <w:spacing w:line="360" w:lineRule="auto"/>
              <w:rPr>
                <w:rFonts w:eastAsia="Calibri"/>
                <w:sz w:val="24"/>
                <w:szCs w:val="24"/>
                <w:lang w:val="ru-RU" w:eastAsia="en-US"/>
              </w:rPr>
            </w:pPr>
            <w:r w:rsidRPr="00141BED">
              <w:rPr>
                <w:rFonts w:eastAsia="Calibri"/>
                <w:sz w:val="24"/>
                <w:szCs w:val="24"/>
                <w:lang w:val="en-US" w:eastAsia="en-US"/>
              </w:rPr>
              <w:t>Conclusion ……………………………………...………………...………</w:t>
            </w:r>
            <w:r>
              <w:rPr>
                <w:rFonts w:eastAsia="Calibri"/>
                <w:sz w:val="24"/>
                <w:szCs w:val="24"/>
                <w:lang w:val="en-US" w:eastAsia="en-US"/>
              </w:rPr>
              <w:t>…</w:t>
            </w:r>
            <w:r>
              <w:rPr>
                <w:rFonts w:eastAsia="Calibri"/>
                <w:sz w:val="24"/>
                <w:szCs w:val="24"/>
                <w:lang w:val="ru-RU" w:eastAsia="en-US"/>
              </w:rPr>
              <w:t>………..</w:t>
            </w:r>
          </w:p>
        </w:tc>
        <w:tc>
          <w:tcPr>
            <w:tcW w:w="709" w:type="dxa"/>
          </w:tcPr>
          <w:p w:rsidR="002A1CA8" w:rsidRPr="00141BED"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37</w:t>
            </w:r>
          </w:p>
        </w:tc>
      </w:tr>
      <w:tr w:rsidR="002A1CA8" w:rsidRPr="00594490" w:rsidTr="00B016E0">
        <w:trPr>
          <w:trHeight w:val="300"/>
        </w:trPr>
        <w:tc>
          <w:tcPr>
            <w:tcW w:w="8478" w:type="dxa"/>
          </w:tcPr>
          <w:p w:rsidR="002A1CA8" w:rsidRPr="00594490" w:rsidRDefault="00594490" w:rsidP="00594490">
            <w:pPr>
              <w:tabs>
                <w:tab w:val="center" w:pos="4960"/>
                <w:tab w:val="left" w:pos="6772"/>
              </w:tabs>
              <w:spacing w:after="0" w:line="360" w:lineRule="auto"/>
              <w:rPr>
                <w:rFonts w:ascii="Times New Roman" w:hAnsi="Times New Roman"/>
                <w:sz w:val="24"/>
                <w:szCs w:val="24"/>
              </w:rPr>
            </w:pPr>
            <w:r w:rsidRPr="00594490">
              <w:rPr>
                <w:rFonts w:ascii="Times New Roman" w:hAnsi="Times New Roman"/>
                <w:sz w:val="24"/>
                <w:szCs w:val="24"/>
                <w:lang w:val="en-US"/>
              </w:rPr>
              <w:t>List of sources used</w:t>
            </w:r>
            <w:r>
              <w:rPr>
                <w:rFonts w:ascii="Times New Roman" w:hAnsi="Times New Roman"/>
                <w:sz w:val="24"/>
                <w:szCs w:val="24"/>
              </w:rPr>
              <w:t>…………………………………………………………………</w:t>
            </w:r>
          </w:p>
        </w:tc>
        <w:tc>
          <w:tcPr>
            <w:tcW w:w="709" w:type="dxa"/>
          </w:tcPr>
          <w:p w:rsidR="002A1CA8" w:rsidRPr="00594490" w:rsidRDefault="00594490" w:rsidP="00141BED">
            <w:pPr>
              <w:spacing w:after="0" w:line="360" w:lineRule="auto"/>
              <w:jc w:val="both"/>
              <w:rPr>
                <w:rFonts w:ascii="Times New Roman" w:hAnsi="Times New Roman"/>
                <w:caps/>
                <w:sz w:val="24"/>
                <w:szCs w:val="24"/>
              </w:rPr>
            </w:pPr>
            <w:r w:rsidRPr="00594490">
              <w:rPr>
                <w:rFonts w:ascii="Times New Roman" w:hAnsi="Times New Roman"/>
                <w:caps/>
                <w:sz w:val="24"/>
                <w:szCs w:val="24"/>
              </w:rPr>
              <w:t>41</w:t>
            </w:r>
          </w:p>
        </w:tc>
      </w:tr>
      <w:tr w:rsidR="002A1CA8" w:rsidRPr="00141BED" w:rsidTr="00B016E0">
        <w:trPr>
          <w:trHeight w:val="300"/>
        </w:trPr>
        <w:tc>
          <w:tcPr>
            <w:tcW w:w="8478" w:type="dxa"/>
          </w:tcPr>
          <w:p w:rsidR="002A1CA8" w:rsidRPr="002A1CA8" w:rsidRDefault="002A1CA8" w:rsidP="00141BED">
            <w:pPr>
              <w:spacing w:after="0" w:line="360" w:lineRule="auto"/>
              <w:rPr>
                <w:rFonts w:ascii="Times New Roman" w:hAnsi="Times New Roman"/>
                <w:sz w:val="24"/>
                <w:szCs w:val="24"/>
                <w:lang w:val="en-US"/>
              </w:rPr>
            </w:pPr>
            <w:r w:rsidRPr="00141BED">
              <w:rPr>
                <w:rFonts w:ascii="Times New Roman" w:hAnsi="Times New Roman"/>
                <w:sz w:val="24"/>
                <w:szCs w:val="24"/>
                <w:lang w:val="en-US"/>
              </w:rPr>
              <w:t>Appendix A Technical specification and work schedule……………….…</w:t>
            </w:r>
            <w:r w:rsidRPr="002A1CA8">
              <w:rPr>
                <w:rFonts w:ascii="Times New Roman" w:hAnsi="Times New Roman"/>
                <w:sz w:val="24"/>
                <w:szCs w:val="24"/>
                <w:lang w:val="en-US"/>
              </w:rPr>
              <w:t>…………</w:t>
            </w:r>
          </w:p>
        </w:tc>
        <w:tc>
          <w:tcPr>
            <w:tcW w:w="709" w:type="dxa"/>
          </w:tcPr>
          <w:p w:rsidR="002A1CA8" w:rsidRP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47</w:t>
            </w:r>
          </w:p>
        </w:tc>
      </w:tr>
      <w:tr w:rsidR="002A1CA8" w:rsidRPr="00141BED" w:rsidTr="00B016E0">
        <w:trPr>
          <w:trHeight w:val="300"/>
        </w:trPr>
        <w:tc>
          <w:tcPr>
            <w:tcW w:w="8478" w:type="dxa"/>
          </w:tcPr>
          <w:p w:rsidR="002A1CA8" w:rsidRPr="002A1CA8" w:rsidRDefault="002A1CA8" w:rsidP="00141BED">
            <w:pPr>
              <w:spacing w:after="0" w:line="360" w:lineRule="auto"/>
              <w:rPr>
                <w:rFonts w:ascii="Times New Roman" w:hAnsi="Times New Roman"/>
                <w:sz w:val="24"/>
                <w:szCs w:val="24"/>
                <w:lang w:val="en-US"/>
              </w:rPr>
            </w:pPr>
            <w:r w:rsidRPr="00141BED">
              <w:rPr>
                <w:rFonts w:ascii="Times New Roman" w:hAnsi="Times New Roman"/>
                <w:sz w:val="24"/>
                <w:szCs w:val="24"/>
                <w:lang w:val="en-US"/>
              </w:rPr>
              <w:t>Appendix B Extract from the protocol on the change of superviser…..…</w:t>
            </w:r>
            <w:r w:rsidRPr="002A1CA8">
              <w:rPr>
                <w:rFonts w:ascii="Times New Roman" w:hAnsi="Times New Roman"/>
                <w:sz w:val="24"/>
                <w:szCs w:val="24"/>
                <w:lang w:val="en-US"/>
              </w:rPr>
              <w:t>…………….</w:t>
            </w:r>
          </w:p>
          <w:p w:rsidR="002A1CA8" w:rsidRPr="002A1CA8" w:rsidRDefault="002A1CA8" w:rsidP="00141BED">
            <w:pPr>
              <w:spacing w:after="0" w:line="360" w:lineRule="auto"/>
              <w:rPr>
                <w:rFonts w:ascii="Times New Roman" w:hAnsi="Times New Roman"/>
                <w:sz w:val="24"/>
                <w:szCs w:val="24"/>
                <w:lang w:val="en-US"/>
              </w:rPr>
            </w:pPr>
            <w:r w:rsidRPr="00141BED">
              <w:rPr>
                <w:rFonts w:ascii="Times New Roman" w:hAnsi="Times New Roman"/>
                <w:sz w:val="24"/>
                <w:szCs w:val="24"/>
                <w:lang w:val="en-US"/>
              </w:rPr>
              <w:t>Appendix V List of published works ……………………………………</w:t>
            </w:r>
            <w:r>
              <w:rPr>
                <w:rFonts w:ascii="Times New Roman" w:hAnsi="Times New Roman"/>
                <w:sz w:val="24"/>
                <w:szCs w:val="24"/>
                <w:lang w:val="en-US"/>
              </w:rPr>
              <w:t>…</w:t>
            </w:r>
            <w:r w:rsidRPr="002A1CA8">
              <w:rPr>
                <w:rFonts w:ascii="Times New Roman" w:hAnsi="Times New Roman"/>
                <w:sz w:val="24"/>
                <w:szCs w:val="24"/>
                <w:lang w:val="en-US"/>
              </w:rPr>
              <w:t>…………..</w:t>
            </w:r>
          </w:p>
        </w:tc>
        <w:tc>
          <w:tcPr>
            <w:tcW w:w="709" w:type="dxa"/>
          </w:tcPr>
          <w:p w:rsid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54</w:t>
            </w:r>
          </w:p>
          <w:p w:rsidR="002A1CA8" w:rsidRP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55</w:t>
            </w:r>
          </w:p>
        </w:tc>
      </w:tr>
      <w:tr w:rsidR="002A1CA8" w:rsidRPr="00141BED" w:rsidTr="00B016E0">
        <w:trPr>
          <w:trHeight w:val="300"/>
        </w:trPr>
        <w:tc>
          <w:tcPr>
            <w:tcW w:w="8478" w:type="dxa"/>
          </w:tcPr>
          <w:p w:rsidR="002A1CA8" w:rsidRPr="002A1CA8" w:rsidRDefault="002A1CA8"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 xml:space="preserve">Appendix G Methodological recommendations for forestry activities aimed at increasing the biological resistance and protective functions of pine forests in Kazakhstan </w:t>
            </w:r>
            <w:proofErr w:type="gramStart"/>
            <w:r w:rsidRPr="00141BED">
              <w:rPr>
                <w:rFonts w:ascii="Times New Roman" w:hAnsi="Times New Roman"/>
                <w:sz w:val="24"/>
                <w:szCs w:val="24"/>
                <w:lang w:val="en-US"/>
              </w:rPr>
              <w:t>.............................. ............................................</w:t>
            </w:r>
            <w:r w:rsidRPr="002A1CA8">
              <w:rPr>
                <w:rFonts w:ascii="Times New Roman" w:hAnsi="Times New Roman"/>
                <w:sz w:val="24"/>
                <w:szCs w:val="24"/>
                <w:lang w:val="en-US"/>
              </w:rPr>
              <w:t>..............................</w:t>
            </w:r>
            <w:proofErr w:type="gramEnd"/>
          </w:p>
          <w:p w:rsidR="002A1CA8" w:rsidRPr="00141BED" w:rsidRDefault="002A1CA8" w:rsidP="00141BED">
            <w:pPr>
              <w:spacing w:after="0" w:line="360" w:lineRule="auto"/>
              <w:jc w:val="both"/>
              <w:rPr>
                <w:rFonts w:ascii="Times New Roman" w:hAnsi="Times New Roman"/>
                <w:sz w:val="24"/>
                <w:szCs w:val="24"/>
                <w:lang w:val="en-US"/>
              </w:rPr>
            </w:pPr>
            <w:r w:rsidRPr="00141BED">
              <w:rPr>
                <w:rFonts w:ascii="Times New Roman" w:eastAsia="Times New Roman" w:hAnsi="Times New Roman"/>
                <w:sz w:val="24"/>
                <w:szCs w:val="24"/>
                <w:lang w:val="kk-KZ" w:eastAsia="ar-SA"/>
              </w:rPr>
              <w:t>Appendix D Patent Application.............................................</w:t>
            </w:r>
            <w:r>
              <w:rPr>
                <w:rFonts w:ascii="Times New Roman" w:eastAsia="Times New Roman" w:hAnsi="Times New Roman"/>
                <w:sz w:val="24"/>
                <w:szCs w:val="24"/>
                <w:lang w:val="kk-KZ" w:eastAsia="ar-SA"/>
              </w:rPr>
              <w:t>.........</w:t>
            </w:r>
            <w:r w:rsidRPr="00141BED">
              <w:rPr>
                <w:rFonts w:ascii="Times New Roman" w:eastAsia="Times New Roman" w:hAnsi="Times New Roman"/>
                <w:sz w:val="24"/>
                <w:szCs w:val="24"/>
                <w:lang w:val="kk-KZ" w:eastAsia="ar-SA"/>
              </w:rPr>
              <w:t>............</w:t>
            </w:r>
            <w:r>
              <w:rPr>
                <w:rFonts w:ascii="Times New Roman" w:eastAsia="Times New Roman" w:hAnsi="Times New Roman"/>
                <w:sz w:val="24"/>
                <w:szCs w:val="24"/>
                <w:lang w:val="kk-KZ" w:eastAsia="ar-SA"/>
              </w:rPr>
              <w:t>.....</w:t>
            </w:r>
            <w:r w:rsidRPr="00141BED">
              <w:rPr>
                <w:rFonts w:ascii="Times New Roman" w:eastAsia="Times New Roman" w:hAnsi="Times New Roman"/>
                <w:sz w:val="24"/>
                <w:szCs w:val="24"/>
                <w:lang w:val="kk-KZ" w:eastAsia="ar-SA"/>
              </w:rPr>
              <w:t>..</w:t>
            </w:r>
            <w:r w:rsidRPr="00141BED">
              <w:rPr>
                <w:rFonts w:ascii="Times New Roman" w:eastAsia="Times New Roman" w:hAnsi="Times New Roman"/>
                <w:sz w:val="24"/>
                <w:szCs w:val="24"/>
                <w:lang w:val="en-US" w:eastAsia="ar-SA"/>
              </w:rPr>
              <w:t>.........</w:t>
            </w:r>
          </w:p>
        </w:tc>
        <w:tc>
          <w:tcPr>
            <w:tcW w:w="709" w:type="dxa"/>
          </w:tcPr>
          <w:p w:rsidR="002A1CA8" w:rsidRDefault="002A1CA8" w:rsidP="00141BED">
            <w:pPr>
              <w:spacing w:after="0" w:line="360" w:lineRule="auto"/>
              <w:jc w:val="both"/>
              <w:rPr>
                <w:rFonts w:ascii="Times New Roman" w:hAnsi="Times New Roman"/>
                <w:caps/>
                <w:sz w:val="24"/>
                <w:szCs w:val="24"/>
              </w:rPr>
            </w:pPr>
          </w:p>
          <w:p w:rsidR="002A1CA8" w:rsidRDefault="002A1CA8" w:rsidP="00141BED">
            <w:pPr>
              <w:spacing w:after="0" w:line="360" w:lineRule="auto"/>
              <w:jc w:val="both"/>
              <w:rPr>
                <w:rFonts w:ascii="Times New Roman" w:hAnsi="Times New Roman"/>
                <w:caps/>
                <w:sz w:val="24"/>
                <w:szCs w:val="24"/>
              </w:rPr>
            </w:pPr>
          </w:p>
          <w:p w:rsid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58</w:t>
            </w:r>
          </w:p>
          <w:p w:rsidR="002A1CA8" w:rsidRDefault="00594490" w:rsidP="00141BED">
            <w:pPr>
              <w:spacing w:after="0" w:line="360" w:lineRule="auto"/>
              <w:jc w:val="both"/>
              <w:rPr>
                <w:rFonts w:ascii="Times New Roman" w:hAnsi="Times New Roman"/>
                <w:caps/>
                <w:sz w:val="24"/>
                <w:szCs w:val="24"/>
              </w:rPr>
            </w:pPr>
            <w:r>
              <w:rPr>
                <w:rFonts w:ascii="Times New Roman" w:hAnsi="Times New Roman"/>
                <w:caps/>
                <w:sz w:val="24"/>
                <w:szCs w:val="24"/>
              </w:rPr>
              <w:t>76</w:t>
            </w:r>
          </w:p>
          <w:p w:rsidR="002A1CA8" w:rsidRPr="00141BED" w:rsidRDefault="002A1CA8" w:rsidP="00141BED">
            <w:pPr>
              <w:spacing w:after="0" w:line="360" w:lineRule="auto"/>
              <w:jc w:val="both"/>
              <w:rPr>
                <w:rFonts w:ascii="Times New Roman" w:hAnsi="Times New Roman"/>
                <w:caps/>
                <w:sz w:val="24"/>
                <w:szCs w:val="24"/>
              </w:rPr>
            </w:pPr>
          </w:p>
        </w:tc>
      </w:tr>
    </w:tbl>
    <w:p w:rsidR="00A820F1" w:rsidRPr="00141BED" w:rsidRDefault="00A820F1" w:rsidP="00141BED">
      <w:pPr>
        <w:spacing w:after="0" w:line="360" w:lineRule="auto"/>
        <w:ind w:firstLine="567"/>
        <w:jc w:val="both"/>
        <w:rPr>
          <w:rFonts w:ascii="Times New Roman" w:hAnsi="Times New Roman"/>
          <w:b/>
          <w:caps/>
          <w:sz w:val="24"/>
          <w:szCs w:val="24"/>
        </w:rPr>
      </w:pPr>
    </w:p>
    <w:p w:rsidR="00A820F1" w:rsidRPr="00F15B9B" w:rsidRDefault="00A820F1" w:rsidP="00141BED">
      <w:pPr>
        <w:spacing w:after="0" w:line="360" w:lineRule="auto"/>
        <w:ind w:firstLine="567"/>
        <w:jc w:val="center"/>
        <w:rPr>
          <w:rFonts w:ascii="Times New Roman" w:hAnsi="Times New Roman"/>
          <w:b/>
          <w:caps/>
          <w:sz w:val="24"/>
          <w:szCs w:val="24"/>
        </w:rPr>
      </w:pPr>
      <w:r w:rsidRPr="00117626">
        <w:rPr>
          <w:rFonts w:ascii="Times New Roman" w:hAnsi="Times New Roman"/>
          <w:b/>
          <w:caps/>
          <w:sz w:val="24"/>
          <w:szCs w:val="24"/>
          <w:lang w:val="en-US"/>
        </w:rPr>
        <w:br w:type="page"/>
      </w:r>
      <w:r w:rsidR="00117626">
        <w:rPr>
          <w:rFonts w:ascii="Times New Roman" w:hAnsi="Times New Roman"/>
          <w:b/>
          <w:caps/>
          <w:sz w:val="24"/>
          <w:szCs w:val="24"/>
          <w:lang w:val="en-US"/>
        </w:rPr>
        <w:lastRenderedPageBreak/>
        <w:t xml:space="preserve">LIST OF </w:t>
      </w:r>
      <w:r w:rsidR="004511C9" w:rsidRPr="00117626">
        <w:rPr>
          <w:rFonts w:ascii="Times New Roman" w:hAnsi="Times New Roman"/>
          <w:b/>
          <w:sz w:val="24"/>
          <w:szCs w:val="24"/>
          <w:lang w:val="en-US" w:eastAsia="x-none"/>
        </w:rPr>
        <w:t>SYMBOLS AND ABBREVIATIONS</w:t>
      </w:r>
    </w:p>
    <w:p w:rsidR="00A820F1" w:rsidRDefault="00A820F1" w:rsidP="00141BED">
      <w:pPr>
        <w:spacing w:after="0" w:line="360" w:lineRule="auto"/>
        <w:jc w:val="center"/>
        <w:rPr>
          <w:rFonts w:ascii="Times New Roman" w:hAnsi="Times New Roman"/>
          <w:caps/>
          <w:sz w:val="24"/>
          <w:szCs w:val="24"/>
        </w:rPr>
      </w:pPr>
    </w:p>
    <w:p w:rsidR="00F15B9B" w:rsidRPr="00F15B9B" w:rsidRDefault="00F15B9B" w:rsidP="00141BED">
      <w:pPr>
        <w:spacing w:after="0" w:line="360" w:lineRule="auto"/>
        <w:jc w:val="center"/>
        <w:rPr>
          <w:rFonts w:ascii="Times New Roman" w:hAnsi="Times New Roman"/>
          <w:caps/>
          <w:sz w:val="24"/>
          <w:szCs w:val="24"/>
          <w:lang w:val="en-US"/>
        </w:rPr>
      </w:pPr>
    </w:p>
    <w:p w:rsidR="004511C9" w:rsidRPr="00141BED" w:rsidRDefault="004511C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EKR - East Kazakhstan region</w:t>
      </w:r>
    </w:p>
    <w:p w:rsidR="004511C9" w:rsidRPr="00F15B9B" w:rsidRDefault="004511C9" w:rsidP="00141BED">
      <w:pPr>
        <w:spacing w:after="0" w:line="360" w:lineRule="auto"/>
        <w:ind w:firstLine="567"/>
        <w:jc w:val="both"/>
        <w:rPr>
          <w:rFonts w:ascii="Times New Roman" w:hAnsi="Times New Roman"/>
          <w:sz w:val="24"/>
          <w:szCs w:val="24"/>
          <w:lang w:val="en-US"/>
        </w:rPr>
      </w:pPr>
      <w:r w:rsidRPr="00F15B9B">
        <w:rPr>
          <w:rFonts w:ascii="Times New Roman" w:hAnsi="Times New Roman"/>
          <w:sz w:val="24"/>
          <w:szCs w:val="24"/>
          <w:lang w:val="en-US"/>
        </w:rPr>
        <w:t xml:space="preserve">D - </w:t>
      </w:r>
      <w:proofErr w:type="gramStart"/>
      <w:r w:rsidRPr="00F15B9B">
        <w:rPr>
          <w:rFonts w:ascii="Times New Roman" w:hAnsi="Times New Roman"/>
          <w:sz w:val="24"/>
          <w:szCs w:val="24"/>
          <w:lang w:val="en-US"/>
        </w:rPr>
        <w:t>tree</w:t>
      </w:r>
      <w:proofErr w:type="gramEnd"/>
      <w:r w:rsidRPr="00F15B9B">
        <w:rPr>
          <w:rFonts w:ascii="Times New Roman" w:hAnsi="Times New Roman"/>
          <w:sz w:val="24"/>
          <w:szCs w:val="24"/>
          <w:lang w:val="en-US"/>
        </w:rPr>
        <w:t xml:space="preserve"> diameter</w:t>
      </w:r>
    </w:p>
    <w:p w:rsidR="00A820F1" w:rsidRPr="00141BED" w:rsidRDefault="004511C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SFNR</w:t>
      </w:r>
      <w:r w:rsidR="00A820F1" w:rsidRPr="00141BED">
        <w:rPr>
          <w:rFonts w:ascii="Times New Roman" w:hAnsi="Times New Roman"/>
          <w:sz w:val="24"/>
          <w:szCs w:val="24"/>
          <w:lang w:val="en-US"/>
        </w:rPr>
        <w:t xml:space="preserve"> –</w:t>
      </w:r>
      <w:r w:rsidRPr="00141BED">
        <w:rPr>
          <w:rFonts w:ascii="Times New Roman" w:hAnsi="Times New Roman"/>
          <w:sz w:val="24"/>
          <w:szCs w:val="24"/>
          <w:lang w:val="en-US"/>
        </w:rPr>
        <w:t xml:space="preserve"> State Forest Nature Reserve</w:t>
      </w:r>
    </w:p>
    <w:p w:rsidR="004511C9" w:rsidRPr="00F15B9B" w:rsidRDefault="004511C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PI</w:t>
      </w:r>
      <w:r w:rsidR="00A820F1" w:rsidRPr="00F15B9B">
        <w:rPr>
          <w:rFonts w:ascii="Times New Roman" w:hAnsi="Times New Roman"/>
          <w:sz w:val="24"/>
          <w:szCs w:val="24"/>
          <w:lang w:val="en-US"/>
        </w:rPr>
        <w:t xml:space="preserve"> – </w:t>
      </w:r>
      <w:r w:rsidRPr="00141BED">
        <w:rPr>
          <w:rFonts w:ascii="Times New Roman" w:hAnsi="Times New Roman"/>
          <w:sz w:val="24"/>
          <w:szCs w:val="24"/>
          <w:lang w:val="en-US"/>
        </w:rPr>
        <w:t>Public</w:t>
      </w:r>
      <w:r w:rsidRPr="00F15B9B">
        <w:rPr>
          <w:rFonts w:ascii="Times New Roman" w:hAnsi="Times New Roman"/>
          <w:sz w:val="24"/>
          <w:szCs w:val="24"/>
          <w:lang w:val="en-US"/>
        </w:rPr>
        <w:t xml:space="preserve"> </w:t>
      </w:r>
      <w:r w:rsidRPr="00141BED">
        <w:rPr>
          <w:rFonts w:ascii="Times New Roman" w:hAnsi="Times New Roman"/>
          <w:sz w:val="24"/>
          <w:szCs w:val="24"/>
          <w:lang w:val="en-US"/>
        </w:rPr>
        <w:t>Institution</w:t>
      </w:r>
      <w:r w:rsidRPr="00F15B9B">
        <w:rPr>
          <w:rFonts w:ascii="Times New Roman" w:hAnsi="Times New Roman"/>
          <w:sz w:val="24"/>
          <w:szCs w:val="24"/>
          <w:lang w:val="en-US"/>
        </w:rPr>
        <w:t xml:space="preserve"> </w:t>
      </w:r>
    </w:p>
    <w:p w:rsidR="00A820F1" w:rsidRPr="00141BED" w:rsidRDefault="004511C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MSIF </w:t>
      </w:r>
      <w:r w:rsidR="00A820F1" w:rsidRPr="00141BED">
        <w:rPr>
          <w:rFonts w:ascii="Times New Roman" w:hAnsi="Times New Roman"/>
          <w:sz w:val="24"/>
          <w:szCs w:val="24"/>
          <w:lang w:val="en-US"/>
        </w:rPr>
        <w:t xml:space="preserve">– </w:t>
      </w:r>
      <w:r w:rsidRPr="00141BED">
        <w:rPr>
          <w:rFonts w:ascii="Times New Roman" w:hAnsi="Times New Roman"/>
          <w:sz w:val="24"/>
          <w:szCs w:val="24"/>
          <w:lang w:val="en-US"/>
        </w:rPr>
        <w:t>Municipal State Institution of Forestry</w:t>
      </w:r>
    </w:p>
    <w:p w:rsidR="00A820F1" w:rsidRPr="00141BED" w:rsidRDefault="004511C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SNNP</w:t>
      </w:r>
      <w:r w:rsidR="00A820F1" w:rsidRPr="00141BED">
        <w:rPr>
          <w:rFonts w:ascii="Times New Roman" w:hAnsi="Times New Roman"/>
          <w:sz w:val="24"/>
          <w:szCs w:val="24"/>
          <w:lang w:val="en-US"/>
        </w:rPr>
        <w:t xml:space="preserve"> – </w:t>
      </w:r>
      <w:r w:rsidRPr="00141BED">
        <w:rPr>
          <w:rFonts w:ascii="Times New Roman" w:hAnsi="Times New Roman"/>
          <w:sz w:val="24"/>
          <w:szCs w:val="24"/>
          <w:lang w:val="en-US"/>
        </w:rPr>
        <w:t>State National Nature Park</w:t>
      </w:r>
    </w:p>
    <w:p w:rsidR="00A820F1" w:rsidRPr="00141BED" w:rsidRDefault="004511C9" w:rsidP="00141BED">
      <w:pPr>
        <w:spacing w:after="0" w:line="360" w:lineRule="auto"/>
        <w:ind w:firstLine="567"/>
        <w:jc w:val="both"/>
        <w:rPr>
          <w:rFonts w:ascii="Times New Roman" w:hAnsi="Times New Roman"/>
          <w:sz w:val="24"/>
          <w:szCs w:val="24"/>
          <w:lang w:val="en-US"/>
        </w:rPr>
      </w:pPr>
      <w:proofErr w:type="gramStart"/>
      <w:r w:rsidRPr="00141BED">
        <w:rPr>
          <w:rFonts w:ascii="Times New Roman" w:hAnsi="Times New Roman"/>
          <w:sz w:val="24"/>
          <w:szCs w:val="24"/>
          <w:lang w:val="en-US"/>
        </w:rPr>
        <w:t>m³/h</w:t>
      </w:r>
      <w:r w:rsidR="00A820F1" w:rsidRPr="00141BED">
        <w:rPr>
          <w:rFonts w:ascii="Times New Roman" w:hAnsi="Times New Roman"/>
          <w:sz w:val="24"/>
          <w:szCs w:val="24"/>
        </w:rPr>
        <w:t>а</w:t>
      </w:r>
      <w:proofErr w:type="gramEnd"/>
      <w:r w:rsidR="00A820F1" w:rsidRPr="00141BED">
        <w:rPr>
          <w:rFonts w:ascii="Times New Roman" w:hAnsi="Times New Roman"/>
          <w:sz w:val="24"/>
          <w:szCs w:val="24"/>
          <w:lang w:val="en-US"/>
        </w:rPr>
        <w:t xml:space="preserve"> – </w:t>
      </w:r>
      <w:r w:rsidRPr="00141BED">
        <w:rPr>
          <w:rFonts w:ascii="Times New Roman" w:hAnsi="Times New Roman"/>
          <w:sz w:val="24"/>
          <w:szCs w:val="24"/>
          <w:lang w:val="en-US"/>
        </w:rPr>
        <w:t>cubic meters per hectare</w:t>
      </w:r>
    </w:p>
    <w:p w:rsidR="00A820F1" w:rsidRPr="00141B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rPr>
        <w:t>Н</w:t>
      </w:r>
      <w:r w:rsidRPr="00141BED">
        <w:rPr>
          <w:rFonts w:ascii="Times New Roman" w:hAnsi="Times New Roman"/>
          <w:sz w:val="24"/>
          <w:szCs w:val="24"/>
          <w:lang w:val="en-US"/>
        </w:rPr>
        <w:t xml:space="preserve"> – </w:t>
      </w:r>
      <w:r w:rsidR="004511C9" w:rsidRPr="00141BED">
        <w:rPr>
          <w:rFonts w:ascii="Times New Roman" w:hAnsi="Times New Roman"/>
          <w:sz w:val="24"/>
          <w:szCs w:val="24"/>
          <w:lang w:val="en-US"/>
        </w:rPr>
        <w:t>tree height</w:t>
      </w:r>
    </w:p>
    <w:p w:rsidR="004511C9" w:rsidRPr="00141BED" w:rsidRDefault="004511C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R</w:t>
      </w:r>
      <w:r w:rsidR="00491910" w:rsidRPr="00141BED">
        <w:rPr>
          <w:rFonts w:ascii="Times New Roman" w:hAnsi="Times New Roman"/>
          <w:sz w:val="24"/>
          <w:szCs w:val="24"/>
          <w:lang w:val="en-US"/>
        </w:rPr>
        <w:t>W</w:t>
      </w:r>
      <w:r w:rsidRPr="00141BED">
        <w:rPr>
          <w:rFonts w:ascii="Times New Roman" w:hAnsi="Times New Roman"/>
          <w:sz w:val="24"/>
          <w:szCs w:val="24"/>
          <w:lang w:val="en-US"/>
        </w:rPr>
        <w:t>- research work</w:t>
      </w:r>
    </w:p>
    <w:p w:rsidR="004511C9" w:rsidRPr="00141BED" w:rsidRDefault="0049191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w:t>
      </w:r>
      <w:r w:rsidR="004511C9" w:rsidRPr="00141BED">
        <w:rPr>
          <w:rFonts w:ascii="Times New Roman" w:hAnsi="Times New Roman"/>
          <w:sz w:val="24"/>
          <w:szCs w:val="24"/>
          <w:lang w:val="en-US"/>
        </w:rPr>
        <w:t xml:space="preserve">VS </w:t>
      </w:r>
      <w:proofErr w:type="gramStart"/>
      <w:r w:rsidR="004511C9" w:rsidRPr="00141BED">
        <w:rPr>
          <w:rFonts w:ascii="Times New Roman" w:hAnsi="Times New Roman"/>
          <w:sz w:val="24"/>
          <w:szCs w:val="24"/>
          <w:lang w:val="en-US"/>
        </w:rPr>
        <w:t xml:space="preserve">-  </w:t>
      </w:r>
      <w:r w:rsidRPr="00141BED">
        <w:rPr>
          <w:rFonts w:ascii="Times New Roman" w:hAnsi="Times New Roman"/>
          <w:sz w:val="24"/>
          <w:szCs w:val="24"/>
          <w:lang w:val="en-US"/>
        </w:rPr>
        <w:t>assessment</w:t>
      </w:r>
      <w:proofErr w:type="gramEnd"/>
      <w:r w:rsidRPr="00141BED">
        <w:rPr>
          <w:rFonts w:ascii="Times New Roman" w:hAnsi="Times New Roman"/>
          <w:sz w:val="24"/>
          <w:szCs w:val="24"/>
          <w:lang w:val="en-US"/>
        </w:rPr>
        <w:t xml:space="preserve"> of the vital state of trees</w:t>
      </w:r>
    </w:p>
    <w:p w:rsidR="004511C9" w:rsidRPr="00141BED" w:rsidRDefault="004511C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TP - trial plot</w:t>
      </w:r>
    </w:p>
    <w:p w:rsidR="004511C9" w:rsidRPr="00141BED" w:rsidRDefault="004511C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TC - tending cutting</w:t>
      </w:r>
    </w:p>
    <w:p w:rsidR="00A820F1" w:rsidRPr="00141BED" w:rsidRDefault="00DA31D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P</w:t>
      </w:r>
      <w:r w:rsidR="00A820F1" w:rsidRPr="00141BED">
        <w:rPr>
          <w:rFonts w:ascii="Times New Roman" w:hAnsi="Times New Roman"/>
          <w:sz w:val="24"/>
          <w:szCs w:val="24"/>
          <w:lang w:val="en-US"/>
        </w:rPr>
        <w:t xml:space="preserve"> – </w:t>
      </w:r>
      <w:proofErr w:type="gramStart"/>
      <w:r w:rsidR="00462290" w:rsidRPr="00141BED">
        <w:rPr>
          <w:rFonts w:ascii="Times New Roman" w:hAnsi="Times New Roman"/>
          <w:sz w:val="24"/>
          <w:szCs w:val="24"/>
          <w:lang w:val="en-US"/>
        </w:rPr>
        <w:t>relative</w:t>
      </w:r>
      <w:proofErr w:type="gramEnd"/>
      <w:r w:rsidR="00462290" w:rsidRPr="00141BED">
        <w:rPr>
          <w:rFonts w:ascii="Times New Roman" w:hAnsi="Times New Roman"/>
          <w:sz w:val="24"/>
          <w:szCs w:val="24"/>
          <w:lang w:val="en-US"/>
        </w:rPr>
        <w:t xml:space="preserve"> completeness of the stand</w:t>
      </w:r>
    </w:p>
    <w:p w:rsidR="00A820F1" w:rsidRPr="00141BED" w:rsidRDefault="0046229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Spec</w:t>
      </w:r>
      <w:proofErr w:type="gramStart"/>
      <w:r w:rsidRPr="00141BED">
        <w:rPr>
          <w:rFonts w:ascii="Times New Roman" w:hAnsi="Times New Roman"/>
          <w:sz w:val="24"/>
          <w:szCs w:val="24"/>
          <w:lang w:val="en-US"/>
        </w:rPr>
        <w:t>./</w:t>
      </w:r>
      <w:proofErr w:type="gramEnd"/>
      <w:r w:rsidRPr="00141BED">
        <w:rPr>
          <w:rFonts w:ascii="Times New Roman" w:hAnsi="Times New Roman"/>
          <w:sz w:val="24"/>
          <w:szCs w:val="24"/>
          <w:lang w:val="en-US"/>
        </w:rPr>
        <w:t>ha - specimens per hectare</w:t>
      </w:r>
    </w:p>
    <w:p w:rsidR="00462290" w:rsidRPr="00141BED" w:rsidRDefault="0046229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C - </w:t>
      </w:r>
      <w:proofErr w:type="gramStart"/>
      <w:r w:rsidRPr="00141BED">
        <w:rPr>
          <w:rFonts w:ascii="Times New Roman" w:hAnsi="Times New Roman"/>
          <w:sz w:val="24"/>
          <w:szCs w:val="24"/>
          <w:lang w:val="en-US"/>
        </w:rPr>
        <w:t>pine</w:t>
      </w:r>
      <w:proofErr w:type="gramEnd"/>
    </w:p>
    <w:p w:rsidR="00462290" w:rsidRPr="00141BED" w:rsidRDefault="0046229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B - </w:t>
      </w:r>
      <w:proofErr w:type="gramStart"/>
      <w:r w:rsidRPr="00141BED">
        <w:rPr>
          <w:rFonts w:ascii="Times New Roman" w:hAnsi="Times New Roman"/>
          <w:sz w:val="24"/>
          <w:szCs w:val="24"/>
          <w:lang w:val="en-US"/>
        </w:rPr>
        <w:t>birch</w:t>
      </w:r>
      <w:proofErr w:type="gramEnd"/>
    </w:p>
    <w:p w:rsidR="00462290" w:rsidRPr="00141BED" w:rsidRDefault="0046229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TRC - tree-ring chronologies</w:t>
      </w:r>
    </w:p>
    <w:p w:rsidR="001C4554" w:rsidRPr="00907B5F" w:rsidRDefault="00462290" w:rsidP="001C4554">
      <w:pPr>
        <w:spacing w:after="0" w:line="360" w:lineRule="auto"/>
        <w:ind w:firstLine="567"/>
        <w:rPr>
          <w:rFonts w:ascii="Times New Roman" w:hAnsi="Times New Roman"/>
          <w:sz w:val="24"/>
          <w:szCs w:val="24"/>
          <w:lang w:val="en-US"/>
        </w:rPr>
      </w:pPr>
      <w:r w:rsidRPr="00141BED">
        <w:rPr>
          <w:rFonts w:ascii="Times New Roman" w:hAnsi="Times New Roman"/>
          <w:sz w:val="24"/>
          <w:szCs w:val="24"/>
          <w:lang w:val="en-US"/>
        </w:rPr>
        <w:t>SA - solar activity</w:t>
      </w:r>
    </w:p>
    <w:p w:rsidR="00A820F1" w:rsidRPr="001C4554" w:rsidRDefault="00A820F1" w:rsidP="001C4554">
      <w:pPr>
        <w:spacing w:after="0" w:line="360" w:lineRule="auto"/>
        <w:ind w:firstLine="567"/>
        <w:jc w:val="center"/>
        <w:rPr>
          <w:rFonts w:ascii="Times New Roman" w:hAnsi="Times New Roman"/>
          <w:b/>
          <w:caps/>
          <w:sz w:val="24"/>
          <w:szCs w:val="24"/>
          <w:lang w:val="en-US"/>
        </w:rPr>
      </w:pPr>
      <w:r w:rsidRPr="00141BED">
        <w:rPr>
          <w:rFonts w:ascii="Times New Roman" w:hAnsi="Times New Roman"/>
          <w:sz w:val="24"/>
          <w:szCs w:val="24"/>
          <w:lang w:val="en-US"/>
        </w:rPr>
        <w:br w:type="page"/>
      </w:r>
      <w:r w:rsidR="009A38DA" w:rsidRPr="001C4554">
        <w:rPr>
          <w:rFonts w:ascii="Times New Roman" w:hAnsi="Times New Roman"/>
          <w:b/>
          <w:caps/>
          <w:sz w:val="24"/>
          <w:szCs w:val="24"/>
          <w:lang w:val="en-US"/>
        </w:rPr>
        <w:lastRenderedPageBreak/>
        <w:t>INTRIDUCTION</w:t>
      </w:r>
    </w:p>
    <w:p w:rsidR="001F0625" w:rsidRPr="00141BED" w:rsidRDefault="001F0625" w:rsidP="00141BED">
      <w:pPr>
        <w:spacing w:after="0" w:line="360" w:lineRule="auto"/>
        <w:ind w:firstLine="567"/>
        <w:jc w:val="center"/>
        <w:rPr>
          <w:rFonts w:ascii="Times New Roman" w:hAnsi="Times New Roman"/>
          <w:sz w:val="24"/>
          <w:szCs w:val="24"/>
          <w:lang w:val="en-US"/>
        </w:rPr>
      </w:pPr>
    </w:p>
    <w:p w:rsidR="009A38DA" w:rsidRPr="00141BED" w:rsidRDefault="009A38DA"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Dendrochronology is based on a good "memory" of trees that form forest ecosystems, which in the structure, chemical composition and size of annual </w:t>
      </w:r>
      <w:r w:rsidR="001F0625" w:rsidRPr="00141BED">
        <w:rPr>
          <w:rFonts w:ascii="Times New Roman" w:hAnsi="Times New Roman"/>
          <w:sz w:val="24"/>
          <w:szCs w:val="24"/>
          <w:lang w:val="en-US"/>
        </w:rPr>
        <w:t>rings of increment</w:t>
      </w:r>
      <w:r w:rsidRPr="00141BED">
        <w:rPr>
          <w:rFonts w:ascii="Times New Roman" w:hAnsi="Times New Roman"/>
          <w:sz w:val="24"/>
          <w:szCs w:val="24"/>
          <w:lang w:val="en-US"/>
        </w:rPr>
        <w:t xml:space="preserve"> clearly record all changes occurring both within the ecosystem and in the external conditions that determine their development. Dendrochrono</w:t>
      </w:r>
      <w:r w:rsidR="001F0625" w:rsidRPr="00141BED">
        <w:rPr>
          <w:rFonts w:ascii="Times New Roman" w:hAnsi="Times New Roman"/>
          <w:sz w:val="24"/>
          <w:szCs w:val="24"/>
          <w:lang w:val="en-US"/>
        </w:rPr>
        <w:t>logy refers to a complex ground</w:t>
      </w:r>
      <w:r w:rsidRPr="00141BED">
        <w:rPr>
          <w:rFonts w:ascii="Times New Roman" w:hAnsi="Times New Roman"/>
          <w:sz w:val="24"/>
          <w:szCs w:val="24"/>
          <w:lang w:val="en-US"/>
        </w:rPr>
        <w:t>–based research method that can restore the course of the past development of the main component of the forest ecosystem-the forest stands with sufficient reliability and chronological accuracy [1]. Unlike conventional monitoring methods, which involve direct observation of an impact, dendrochronology can restore many changes in forest communities over several decades or even centuries.</w:t>
      </w:r>
    </w:p>
    <w:p w:rsidR="009A38DA" w:rsidRPr="00141BED" w:rsidRDefault="009A38DA"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Changes in the global climate in recent centuries have become a generally recognized fact, and they are observed in all natural zones and are recorded by almost all components of ecosystems [2</w:t>
      </w:r>
      <w:proofErr w:type="gramStart"/>
      <w:r w:rsidRPr="00141BED">
        <w:rPr>
          <w:rFonts w:ascii="Times New Roman" w:hAnsi="Times New Roman"/>
          <w:sz w:val="24"/>
          <w:szCs w:val="24"/>
          <w:lang w:val="en-US"/>
        </w:rPr>
        <w:t>,3</w:t>
      </w:r>
      <w:proofErr w:type="gramEnd"/>
      <w:r w:rsidRPr="00141BED">
        <w:rPr>
          <w:rFonts w:ascii="Times New Roman" w:hAnsi="Times New Roman"/>
          <w:sz w:val="24"/>
          <w:szCs w:val="24"/>
          <w:lang w:val="en-US"/>
        </w:rPr>
        <w:t>].</w:t>
      </w:r>
    </w:p>
    <w:p w:rsidR="00F0067B" w:rsidRPr="00141BED" w:rsidRDefault="00F0067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Woody vegetation is a reliable indicator of changes in the natural environment and climate [3</w:t>
      </w:r>
      <w:proofErr w:type="gramStart"/>
      <w:r w:rsidRPr="00141BED">
        <w:rPr>
          <w:rFonts w:ascii="Times New Roman" w:hAnsi="Times New Roman"/>
          <w:sz w:val="24"/>
          <w:szCs w:val="24"/>
          <w:lang w:val="en-US"/>
        </w:rPr>
        <w:t>,4</w:t>
      </w:r>
      <w:proofErr w:type="gramEnd"/>
      <w:r w:rsidRPr="00141BED">
        <w:rPr>
          <w:rFonts w:ascii="Times New Roman" w:hAnsi="Times New Roman"/>
          <w:sz w:val="24"/>
          <w:szCs w:val="24"/>
          <w:lang w:val="en-US"/>
        </w:rPr>
        <w:t>]. The method of tree-ring analysis is widely used in dendroecological studies, which makes it possible to assess the response of the radial growth of trees to changes in the main climatic variables - temperature and precipitation [5]. Most of such works were carried out in subtropical regions, while the southern regions (the zone of contact between forest and steppe) have not been sufficiently studied [3]. These include the pine forests of the Kazakh hillocky area and ribbon forests of the Irtysh region.</w:t>
      </w:r>
    </w:p>
    <w:p w:rsidR="008E48C0" w:rsidRPr="00141BED" w:rsidRDefault="008E48C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Recently, a large number of studies have been carried out on the response of forest ecosystems and their components to climate change in different areas of growth of boreal and temperate forests (Europe, Asia, </w:t>
      </w:r>
      <w:proofErr w:type="gramStart"/>
      <w:r w:rsidRPr="00141BED">
        <w:rPr>
          <w:rFonts w:ascii="Times New Roman" w:hAnsi="Times New Roman"/>
          <w:sz w:val="24"/>
          <w:szCs w:val="24"/>
          <w:lang w:val="en-US"/>
        </w:rPr>
        <w:t>North</w:t>
      </w:r>
      <w:proofErr w:type="gramEnd"/>
      <w:r w:rsidRPr="00141BED">
        <w:rPr>
          <w:rFonts w:ascii="Times New Roman" w:hAnsi="Times New Roman"/>
          <w:sz w:val="24"/>
          <w:szCs w:val="24"/>
          <w:lang w:val="en-US"/>
        </w:rPr>
        <w:t xml:space="preserve"> America). Extensive research has been carried out in Russia. But there </w:t>
      </w:r>
      <w:proofErr w:type="gramStart"/>
      <w:r w:rsidRPr="00141BED">
        <w:rPr>
          <w:rFonts w:ascii="Times New Roman" w:hAnsi="Times New Roman"/>
          <w:sz w:val="24"/>
          <w:szCs w:val="24"/>
          <w:lang w:val="en-US"/>
        </w:rPr>
        <w:t>is</w:t>
      </w:r>
      <w:proofErr w:type="gramEnd"/>
      <w:r w:rsidRPr="00141BED">
        <w:rPr>
          <w:rFonts w:ascii="Times New Roman" w:hAnsi="Times New Roman"/>
          <w:sz w:val="24"/>
          <w:szCs w:val="24"/>
          <w:lang w:val="en-US"/>
        </w:rPr>
        <w:t xml:space="preserve"> still a lot of unclearnesses, especially in the direct and inverse relationships between global and local climate change and forest ecosystems. To understand exactly how forests function and how their biological diversity is formed, it is necessary to assess the depth of the interaction between climate and forests, as well as to find out what impact future climate changes will have on the ecological and economic stability of forests [6</w:t>
      </w:r>
      <w:proofErr w:type="gramStart"/>
      <w:r w:rsidRPr="00141BED">
        <w:rPr>
          <w:rFonts w:ascii="Times New Roman" w:hAnsi="Times New Roman"/>
          <w:sz w:val="24"/>
          <w:szCs w:val="24"/>
          <w:lang w:val="en-US"/>
        </w:rPr>
        <w:t>,7</w:t>
      </w:r>
      <w:proofErr w:type="gramEnd"/>
      <w:r w:rsidRPr="00141BED">
        <w:rPr>
          <w:rFonts w:ascii="Times New Roman" w:hAnsi="Times New Roman"/>
          <w:sz w:val="24"/>
          <w:szCs w:val="24"/>
          <w:lang w:val="en-US"/>
        </w:rPr>
        <w:t>].</w:t>
      </w:r>
    </w:p>
    <w:p w:rsidR="008E48C0" w:rsidRPr="00141BED" w:rsidRDefault="008E48C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Much attention is paid to the study of the climatogenic dynamics of forest vegetation due to the need to assess changes in the composition and structure that may occur in the near future under the influence of modern climate warming [8,9]. At the same time, forest, forest-tundra, forest-swamp and forest-steppe communities that grow in extreme climatic and soil-ground conditions, in which climate-related changes are most clearly expressed [</w:t>
      </w:r>
      <w:proofErr w:type="gramStart"/>
      <w:r w:rsidRPr="00141BED">
        <w:rPr>
          <w:rFonts w:ascii="Times New Roman" w:hAnsi="Times New Roman"/>
          <w:sz w:val="24"/>
          <w:szCs w:val="24"/>
          <w:lang w:val="en-US"/>
        </w:rPr>
        <w:t>10-16]</w:t>
      </w:r>
      <w:proofErr w:type="gramEnd"/>
      <w:r w:rsidR="001F0625" w:rsidRPr="00141BED">
        <w:rPr>
          <w:rFonts w:ascii="Times New Roman" w:hAnsi="Times New Roman"/>
          <w:sz w:val="24"/>
          <w:szCs w:val="24"/>
          <w:lang w:val="en-US"/>
        </w:rPr>
        <w:t xml:space="preserve"> are mainly studied</w:t>
      </w:r>
      <w:r w:rsidRPr="00141BED">
        <w:rPr>
          <w:rFonts w:ascii="Times New Roman" w:hAnsi="Times New Roman"/>
          <w:sz w:val="24"/>
          <w:szCs w:val="24"/>
          <w:lang w:val="en-US"/>
        </w:rPr>
        <w:t>.</w:t>
      </w:r>
    </w:p>
    <w:p w:rsidR="008E48C0" w:rsidRPr="00141BED" w:rsidRDefault="008E48C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lastRenderedPageBreak/>
        <w:t>Since in Kazakhstan, in particular, in the Northern and East Kazakhstan regions, with all the study of the influence of certain climatic, forest-growing and anthropogenic factors on the dynamics of tree growth (radial, linear, etc.), there are no studies using dendrochronological and dendroclimatic methods in assessing the state of forest stands in this region, research in this direction is relevant today.</w:t>
      </w:r>
    </w:p>
    <w:p w:rsidR="00D1421B" w:rsidRPr="00141BED" w:rsidRDefault="00D1421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most important forest management measure aimed at improving the health and environmental role of forest stands and their sustainability is tending cuttings, the effectiveness of which is established up to the age of ripeness. Especially important are tending cuttings in young growth, since they determine the composition of future plantings [17-29].</w:t>
      </w:r>
    </w:p>
    <w:p w:rsidR="00644D63" w:rsidRPr="00141BED" w:rsidRDefault="00644D63"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All forests of the Republic of Kazakhstan are protected and cutting of matured and overgrown stands (cutting</w:t>
      </w:r>
      <w:r w:rsidR="00D0333B" w:rsidRPr="00141BED">
        <w:rPr>
          <w:rFonts w:ascii="Times New Roman" w:hAnsi="Times New Roman"/>
          <w:sz w:val="24"/>
          <w:szCs w:val="24"/>
          <w:lang w:val="en-US"/>
        </w:rPr>
        <w:t xml:space="preserve"> of main use</w:t>
      </w:r>
      <w:r w:rsidRPr="00141BED">
        <w:rPr>
          <w:rFonts w:ascii="Times New Roman" w:hAnsi="Times New Roman"/>
          <w:sz w:val="24"/>
          <w:szCs w:val="24"/>
          <w:lang w:val="en-US"/>
        </w:rPr>
        <w:t>) is prohibited in them. The most important forestry activity aimed at improving the health and increasing the environmental role of forest stands is tending cuttings. Therefore, it is very important to have objective data on the impact of tending cuttings on the stability of recreational pine plantations growing in arid conditions, the possibility of forming tree crowns and aesthetically attractive landscapes by tending cutting. We should not forget that any plant needs to be rejuvenated, and, therefore, we should pay attention to the impact of tending cuttings on the formation of undergrowth, its composition, quantitative and qualitative indicators.</w:t>
      </w:r>
    </w:p>
    <w:p w:rsidR="00D0333B" w:rsidRPr="00141BED" w:rsidRDefault="00D0333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According to many authors [30-33], the most reliable informative indicator of changes in the state of stands under the influence of various factors is the radial </w:t>
      </w:r>
      <w:r w:rsidR="00661F39" w:rsidRPr="00141BED">
        <w:rPr>
          <w:rFonts w:ascii="Times New Roman" w:hAnsi="Times New Roman"/>
          <w:sz w:val="24"/>
          <w:szCs w:val="24"/>
          <w:lang w:val="en-US"/>
        </w:rPr>
        <w:t>increment</w:t>
      </w:r>
      <w:r w:rsidRPr="00141BED">
        <w:rPr>
          <w:rFonts w:ascii="Times New Roman" w:hAnsi="Times New Roman"/>
          <w:sz w:val="24"/>
          <w:szCs w:val="24"/>
          <w:lang w:val="en-US"/>
        </w:rPr>
        <w:t xml:space="preserve"> of trees. When assessing the impact of various anthropogenic factors on forest ecosystems, it is impossible to do without using this feature and its fluctuation mode to analyze the situation [34].</w:t>
      </w:r>
    </w:p>
    <w:p w:rsidR="00D0333B" w:rsidRPr="00141BED" w:rsidRDefault="00D0333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When assessing the degree of impact of economic measures on the forest, in particular, the impact of tending cutting on the subsequent development of stands, the duration of this impact, changes in the intensity of growth and the structure of the annual ring, etc. dendrochronological methods are successfully applied [35]. Dendrochronological methods are successfully used to assess the impact of both natural (climatic) and anthropogenic factors (recreation, fires, tending cutting, etc.) on changes in the intensity of radial </w:t>
      </w:r>
      <w:r w:rsidR="00661F39" w:rsidRPr="00141BED">
        <w:rPr>
          <w:rFonts w:ascii="Times New Roman" w:hAnsi="Times New Roman"/>
          <w:sz w:val="24"/>
          <w:szCs w:val="24"/>
          <w:lang w:val="en-US"/>
        </w:rPr>
        <w:t>increment</w:t>
      </w:r>
      <w:r w:rsidRPr="00141BED">
        <w:rPr>
          <w:rFonts w:ascii="Times New Roman" w:hAnsi="Times New Roman"/>
          <w:sz w:val="24"/>
          <w:szCs w:val="24"/>
          <w:lang w:val="en-US"/>
        </w:rPr>
        <w:t xml:space="preserve"> and the structure of the annual ring, etc. [36-42].</w:t>
      </w:r>
    </w:p>
    <w:p w:rsidR="00A820F1" w:rsidRPr="00141BED" w:rsidRDefault="00B76B80" w:rsidP="00141BED">
      <w:pPr>
        <w:pStyle w:val="a3"/>
        <w:spacing w:after="0" w:line="360" w:lineRule="auto"/>
        <w:ind w:left="0" w:firstLine="567"/>
        <w:jc w:val="both"/>
        <w:rPr>
          <w:rFonts w:ascii="Times New Roman" w:hAnsi="Times New Roman"/>
          <w:sz w:val="24"/>
          <w:szCs w:val="24"/>
        </w:rPr>
      </w:pPr>
      <w:r w:rsidRPr="00141BED">
        <w:rPr>
          <w:rFonts w:ascii="Times New Roman" w:hAnsi="Times New Roman"/>
          <w:sz w:val="24"/>
          <w:szCs w:val="24"/>
        </w:rPr>
        <w:t xml:space="preserve">The growth and development of all terrestrial organisms are more or less related not only to the environment, but also to cosmic factors. This was thought about in ancient times, when the darkening of the solar disk was associated with an increase in prices for cereals due to adverse weather conditions (drought, dry winds, etc.). Solar activity (SA) affects man-made factors on Earth: it causes ionospheric disturbances, affects the quality of radio communications, and </w:t>
      </w:r>
      <w:r w:rsidRPr="00141BED">
        <w:rPr>
          <w:rFonts w:ascii="Times New Roman" w:hAnsi="Times New Roman"/>
          <w:sz w:val="24"/>
          <w:szCs w:val="24"/>
        </w:rPr>
        <w:lastRenderedPageBreak/>
        <w:t>Sunspots cause natural disasters (droughts, large fires, etc.). The relationship between the occurrence of Sunspots and extreme events on Earth was determined in the middle of the 18th century.</w:t>
      </w:r>
      <w:r w:rsidRPr="00141BED">
        <w:rPr>
          <w:rFonts w:ascii="Times New Roman" w:hAnsi="Times New Roman"/>
          <w:sz w:val="24"/>
          <w:szCs w:val="24"/>
          <w:lang w:val="en-US"/>
        </w:rPr>
        <w:t xml:space="preserve"> </w:t>
      </w:r>
      <w:r w:rsidRPr="00141BED">
        <w:rPr>
          <w:rFonts w:ascii="Times New Roman" w:hAnsi="Times New Roman"/>
          <w:sz w:val="24"/>
          <w:szCs w:val="24"/>
        </w:rPr>
        <w:t>Scientist Bogolepov M.A. [43] studied Russian chronicles and found that sudden changes in climate are expressed by periodic disturbances of all living organisms, which affects the political and economic situation. Later, the index of the relative sunspot numbers was introduced, developed by R. Wolf (Wolf number). The most famous are the studies of A. Douglas, who studied the thickness of the annual rings of woody plants depending on the sunspot process on the Sun. The scientist found that wood grows intensively during the years of solar maximum [44]. In addition, Douglas expressed an opinion about the existence of climate change, the periods of which are multiples of the 11-year SA cycle, in which he was supported by other scientists [45,46].</w:t>
      </w:r>
      <w:r w:rsidR="00A820F1" w:rsidRPr="00141BED">
        <w:rPr>
          <w:rFonts w:ascii="Times New Roman" w:hAnsi="Times New Roman"/>
          <w:sz w:val="24"/>
          <w:szCs w:val="24"/>
        </w:rPr>
        <w:t xml:space="preserve"> </w:t>
      </w:r>
      <w:r w:rsidRPr="00141BED">
        <w:rPr>
          <w:rFonts w:ascii="Times New Roman" w:hAnsi="Times New Roman"/>
          <w:sz w:val="24"/>
          <w:szCs w:val="24"/>
        </w:rPr>
        <w:t xml:space="preserve">But these cycles have variability in duration [47,48]. The epochs of the extremum are determined by the Wolf numbers, which have the greatest value in the epoch of the maximum, decreasing on the branches of the decline to the epoch of the minimum. The 11-year cycle is more visible in the </w:t>
      </w:r>
      <w:r w:rsidR="00661F39" w:rsidRPr="00141BED">
        <w:rPr>
          <w:rFonts w:ascii="Times New Roman" w:hAnsi="Times New Roman"/>
          <w:sz w:val="24"/>
          <w:szCs w:val="24"/>
        </w:rPr>
        <w:t>epoch</w:t>
      </w:r>
      <w:r w:rsidRPr="00141BED">
        <w:rPr>
          <w:rFonts w:ascii="Times New Roman" w:hAnsi="Times New Roman"/>
          <w:sz w:val="24"/>
          <w:szCs w:val="24"/>
        </w:rPr>
        <w:t xml:space="preserve"> of the minimum, but the next cycle begins earlier than the previous cycle ends. Therefore, it is assumed that the cycle of solar activity does not always have a duration of 11 years [49-51].</w:t>
      </w:r>
    </w:p>
    <w:p w:rsidR="007D0A16" w:rsidRPr="00141BED" w:rsidRDefault="007D0A16" w:rsidP="00141BED">
      <w:pPr>
        <w:pStyle w:val="a3"/>
        <w:spacing w:after="0" w:line="360" w:lineRule="auto"/>
        <w:ind w:left="0" w:firstLine="567"/>
        <w:jc w:val="both"/>
        <w:rPr>
          <w:rFonts w:ascii="Times New Roman" w:hAnsi="Times New Roman"/>
          <w:sz w:val="24"/>
          <w:szCs w:val="24"/>
          <w:lang w:val="en-US"/>
        </w:rPr>
      </w:pPr>
      <w:r w:rsidRPr="00141BED">
        <w:rPr>
          <w:rFonts w:ascii="Times New Roman" w:hAnsi="Times New Roman"/>
          <w:sz w:val="24"/>
          <w:szCs w:val="24"/>
        </w:rPr>
        <w:t xml:space="preserve">A relationship was noted between the dynamics of changes in solar activity and the size of the radial increment. There are many studies of the cyclical </w:t>
      </w:r>
      <w:r w:rsidR="00661F39" w:rsidRPr="00141BED">
        <w:rPr>
          <w:rFonts w:ascii="Times New Roman" w:hAnsi="Times New Roman"/>
          <w:sz w:val="24"/>
          <w:szCs w:val="24"/>
        </w:rPr>
        <w:t>increment</w:t>
      </w:r>
      <w:r w:rsidRPr="00141BED">
        <w:rPr>
          <w:rFonts w:ascii="Times New Roman" w:hAnsi="Times New Roman"/>
          <w:sz w:val="24"/>
          <w:szCs w:val="24"/>
        </w:rPr>
        <w:t xml:space="preserve"> of conifers depending on solar activity, but they are all diametrically opposite. For example, Matveev S. M. noted that all minimal pine increments are observed on the branch of the decline in solar activity, and in more extreme conditions of the growing area, there is a clearer dependence of the increments on the phases of solar activity [52]. In the article Lipatkin V. A. and others [53] it is concluded that high solar activity affects the reduction of tree growth.</w:t>
      </w:r>
    </w:p>
    <w:p w:rsidR="007D0A16" w:rsidRPr="00141BED" w:rsidRDefault="000625A0" w:rsidP="00141BED">
      <w:pPr>
        <w:pStyle w:val="a3"/>
        <w:spacing w:after="0" w:line="360" w:lineRule="auto"/>
        <w:ind w:left="0" w:firstLine="567"/>
        <w:jc w:val="both"/>
        <w:rPr>
          <w:rFonts w:ascii="Times New Roman" w:hAnsi="Times New Roman"/>
          <w:sz w:val="24"/>
          <w:szCs w:val="24"/>
        </w:rPr>
      </w:pPr>
      <w:r w:rsidRPr="00141BED">
        <w:rPr>
          <w:rFonts w:ascii="Times New Roman" w:hAnsi="Times New Roman"/>
          <w:sz w:val="24"/>
          <w:szCs w:val="24"/>
        </w:rPr>
        <w:t xml:space="preserve">The degree of influence of </w:t>
      </w:r>
      <w:r w:rsidRPr="00141BED">
        <w:rPr>
          <w:rFonts w:ascii="Times New Roman" w:hAnsi="Times New Roman"/>
          <w:sz w:val="24"/>
          <w:szCs w:val="24"/>
          <w:lang w:val="en-US"/>
        </w:rPr>
        <w:t>S</w:t>
      </w:r>
      <w:r w:rsidR="007D0A16" w:rsidRPr="00141BED">
        <w:rPr>
          <w:rFonts w:ascii="Times New Roman" w:hAnsi="Times New Roman"/>
          <w:sz w:val="24"/>
          <w:szCs w:val="24"/>
        </w:rPr>
        <w:t>A varies by species of woody plants. Thus, the reaction of spruce to solar energy activity differs from the reaction of pine: it reacts to an increase in solar activity by reducing growth, while for pine, on the contrary, an increase in solar activity is favorable for an increase in growth. It is determined that the level of solar activity of the previous year is crucial for increasing the radial growth of pine trees. At this time, more growth points are laid, from which phytomass develops in the following year, taking the main part of nutrients, thereby reducing the growth of the tree [54]. Simonenko V. S. and others suggested that solar activity has the strongest effect on the radial growth of pine 2 years after the maximum epoch [55].</w:t>
      </w:r>
    </w:p>
    <w:p w:rsidR="007D0A16" w:rsidRPr="00141BED" w:rsidRDefault="007D0A16" w:rsidP="00141BED">
      <w:pPr>
        <w:pStyle w:val="a3"/>
        <w:spacing w:after="0" w:line="360" w:lineRule="auto"/>
        <w:ind w:left="0" w:firstLine="567"/>
        <w:jc w:val="both"/>
        <w:rPr>
          <w:rFonts w:ascii="Times New Roman" w:hAnsi="Times New Roman"/>
          <w:sz w:val="24"/>
          <w:szCs w:val="24"/>
        </w:rPr>
      </w:pPr>
      <w:r w:rsidRPr="00141BED">
        <w:rPr>
          <w:rFonts w:ascii="Times New Roman" w:hAnsi="Times New Roman"/>
          <w:sz w:val="24"/>
          <w:szCs w:val="24"/>
        </w:rPr>
        <w:t xml:space="preserve">Although the lows of pine growth are cyclical, they fit into an 11-year cycle, but for this indicator they are subject to fluctuations from 8 to 14 years, and depending on the frequency of </w:t>
      </w:r>
      <w:r w:rsidRPr="00141BED">
        <w:rPr>
          <w:rFonts w:ascii="Times New Roman" w:hAnsi="Times New Roman"/>
          <w:sz w:val="24"/>
          <w:szCs w:val="24"/>
        </w:rPr>
        <w:lastRenderedPageBreak/>
        <w:t>severe droughts, the growth cycle is 33-38 years. Moreover, the duration of growth depression after droughts in pine is from 1 to 3 years or more [56]. For deciduous and co</w:t>
      </w:r>
      <w:r w:rsidR="000625A0" w:rsidRPr="00141BED">
        <w:rPr>
          <w:rFonts w:ascii="Times New Roman" w:hAnsi="Times New Roman"/>
          <w:sz w:val="24"/>
          <w:szCs w:val="24"/>
        </w:rPr>
        <w:t xml:space="preserve">niferous plants, the effect of </w:t>
      </w:r>
      <w:r w:rsidR="000625A0" w:rsidRPr="00141BED">
        <w:rPr>
          <w:rFonts w:ascii="Times New Roman" w:hAnsi="Times New Roman"/>
          <w:sz w:val="24"/>
          <w:szCs w:val="24"/>
          <w:lang w:val="en-US"/>
        </w:rPr>
        <w:t>S</w:t>
      </w:r>
      <w:r w:rsidRPr="00141BED">
        <w:rPr>
          <w:rFonts w:ascii="Times New Roman" w:hAnsi="Times New Roman"/>
          <w:sz w:val="24"/>
          <w:szCs w:val="24"/>
        </w:rPr>
        <w:t xml:space="preserve">A is different: during high Sun activity, </w:t>
      </w:r>
      <w:r w:rsidR="00265415" w:rsidRPr="00141BED">
        <w:rPr>
          <w:rFonts w:ascii="Times New Roman" w:hAnsi="Times New Roman"/>
          <w:sz w:val="24"/>
          <w:szCs w:val="24"/>
        </w:rPr>
        <w:t xml:space="preserve">pedunculate </w:t>
      </w:r>
      <w:r w:rsidRPr="00141BED">
        <w:rPr>
          <w:rFonts w:ascii="Times New Roman" w:hAnsi="Times New Roman"/>
          <w:sz w:val="24"/>
          <w:szCs w:val="24"/>
        </w:rPr>
        <w:t>oak has an increased growth, coniferous oak has a reduced growth, and vice versa [57].</w:t>
      </w:r>
    </w:p>
    <w:p w:rsidR="00AE7AC1" w:rsidRDefault="000625A0" w:rsidP="00AE7AC1">
      <w:pPr>
        <w:pStyle w:val="a3"/>
        <w:spacing w:after="0" w:line="360" w:lineRule="auto"/>
        <w:ind w:left="0" w:firstLine="567"/>
        <w:jc w:val="both"/>
        <w:rPr>
          <w:rFonts w:ascii="Times New Roman" w:hAnsi="Times New Roman"/>
          <w:sz w:val="24"/>
          <w:szCs w:val="24"/>
          <w:lang w:val="ru-RU"/>
        </w:rPr>
      </w:pPr>
      <w:r w:rsidRPr="00141BED">
        <w:rPr>
          <w:rFonts w:ascii="Times New Roman" w:hAnsi="Times New Roman"/>
          <w:sz w:val="24"/>
          <w:szCs w:val="24"/>
        </w:rPr>
        <w:t xml:space="preserve">To determine the rational management of forest management activities and timely prevention of negative factors of anthropogenic and technogenic impact, it is necessary to make forecast models, including the growth of plantings. Using dendroscales, it is possible to identify the retrospective characteristics of the climate, the strength and power of the </w:t>
      </w:r>
      <w:r w:rsidRPr="00141BED">
        <w:rPr>
          <w:rFonts w:ascii="Times New Roman" w:hAnsi="Times New Roman"/>
          <w:sz w:val="24"/>
          <w:szCs w:val="24"/>
          <w:lang w:val="en-US"/>
        </w:rPr>
        <w:t>S</w:t>
      </w:r>
      <w:r w:rsidRPr="00141BED">
        <w:rPr>
          <w:rFonts w:ascii="Times New Roman" w:hAnsi="Times New Roman"/>
          <w:sz w:val="24"/>
          <w:szCs w:val="24"/>
        </w:rPr>
        <w:t>A and, together with other methods of analysis, determine the influence of other physical factors.</w:t>
      </w:r>
      <w:r w:rsidRPr="00141BED">
        <w:rPr>
          <w:rFonts w:ascii="Times New Roman" w:hAnsi="Times New Roman"/>
          <w:sz w:val="24"/>
          <w:szCs w:val="24"/>
          <w:lang w:val="en-US"/>
        </w:rPr>
        <w:t xml:space="preserve"> </w:t>
      </w:r>
      <w:r w:rsidRPr="00141BED">
        <w:rPr>
          <w:rFonts w:ascii="Times New Roman" w:hAnsi="Times New Roman"/>
          <w:sz w:val="24"/>
          <w:szCs w:val="24"/>
        </w:rPr>
        <w:t xml:space="preserve">Methods for long-term and short-term forecasts of pine growth have been developed by many authors, as a result of which it is possible to predict an increase in the wood stock based on retrospective models, transferring them to the future, taking into account natural and climatic factors. The developed coupling equations can be used to calculate the growth over any period of time. Dmitrieva E. V. also found that the maximum growth in pine trees is observed with a shift from the minimum of </w:t>
      </w:r>
      <w:r w:rsidRPr="00141BED">
        <w:rPr>
          <w:rFonts w:ascii="Times New Roman" w:hAnsi="Times New Roman"/>
          <w:sz w:val="24"/>
          <w:szCs w:val="24"/>
          <w:lang w:val="en-US"/>
        </w:rPr>
        <w:t>S</w:t>
      </w:r>
      <w:r w:rsidRPr="00141BED">
        <w:rPr>
          <w:rFonts w:ascii="Times New Roman" w:hAnsi="Times New Roman"/>
          <w:sz w:val="24"/>
          <w:szCs w:val="24"/>
        </w:rPr>
        <w:t>A by 2-6 years [58]. Knowing the forecast of SA and the accompanying droughts, it is possible to assign forestry work for a more favorable time [59].</w:t>
      </w:r>
    </w:p>
    <w:p w:rsidR="00244927" w:rsidRPr="00244927" w:rsidRDefault="00244927" w:rsidP="00AE7AC1">
      <w:pPr>
        <w:pStyle w:val="a3"/>
        <w:spacing w:after="0" w:line="360" w:lineRule="auto"/>
        <w:ind w:left="0" w:firstLine="567"/>
        <w:jc w:val="both"/>
        <w:rPr>
          <w:rFonts w:ascii="Times New Roman" w:hAnsi="Times New Roman"/>
          <w:sz w:val="24"/>
          <w:szCs w:val="24"/>
          <w:lang w:val="en-US"/>
        </w:rPr>
      </w:pPr>
      <w:r w:rsidRPr="00244927">
        <w:rPr>
          <w:rFonts w:ascii="Times New Roman" w:hAnsi="Times New Roman"/>
          <w:sz w:val="24"/>
          <w:szCs w:val="24"/>
          <w:lang w:val="en-US"/>
        </w:rPr>
        <w:t>The inventory number of scientific reports on research and development for 2018 is 0218</w:t>
      </w:r>
      <w:r w:rsidRPr="00244927">
        <w:rPr>
          <w:rFonts w:ascii="Times New Roman" w:hAnsi="Times New Roman"/>
          <w:sz w:val="24"/>
          <w:szCs w:val="24"/>
          <w:lang w:val="ru-RU"/>
        </w:rPr>
        <w:t>РК</w:t>
      </w:r>
      <w:r w:rsidRPr="00244927">
        <w:rPr>
          <w:rFonts w:ascii="Times New Roman" w:hAnsi="Times New Roman"/>
          <w:sz w:val="24"/>
          <w:szCs w:val="24"/>
          <w:lang w:val="en-US"/>
        </w:rPr>
        <w:t>00390, for 2019 - 0219</w:t>
      </w:r>
      <w:r w:rsidRPr="00244927">
        <w:rPr>
          <w:rFonts w:ascii="Times New Roman" w:hAnsi="Times New Roman"/>
          <w:sz w:val="24"/>
          <w:szCs w:val="24"/>
          <w:lang w:val="ru-RU"/>
        </w:rPr>
        <w:t>РК</w:t>
      </w:r>
      <w:r w:rsidRPr="00244927">
        <w:rPr>
          <w:rFonts w:ascii="Times New Roman" w:hAnsi="Times New Roman"/>
          <w:sz w:val="24"/>
          <w:szCs w:val="24"/>
          <w:lang w:val="en-US"/>
        </w:rPr>
        <w:t>00908.</w:t>
      </w:r>
    </w:p>
    <w:p w:rsidR="00A820F1" w:rsidRPr="00117626" w:rsidRDefault="00A820F1" w:rsidP="00AE7AC1">
      <w:pPr>
        <w:pStyle w:val="a3"/>
        <w:spacing w:after="0" w:line="360" w:lineRule="auto"/>
        <w:ind w:left="0" w:firstLine="567"/>
        <w:jc w:val="center"/>
        <w:rPr>
          <w:rFonts w:ascii="Times New Roman" w:hAnsi="Times New Roman"/>
          <w:b/>
          <w:caps/>
          <w:sz w:val="24"/>
          <w:szCs w:val="24"/>
          <w:lang w:val="en-US"/>
        </w:rPr>
      </w:pPr>
      <w:r w:rsidRPr="00141BED">
        <w:rPr>
          <w:rFonts w:ascii="Times New Roman" w:hAnsi="Times New Roman"/>
          <w:sz w:val="24"/>
          <w:szCs w:val="24"/>
        </w:rPr>
        <w:br w:type="page"/>
      </w:r>
      <w:r w:rsidR="00CE38AB" w:rsidRPr="001C4554">
        <w:rPr>
          <w:rFonts w:ascii="Times New Roman" w:hAnsi="Times New Roman"/>
          <w:b/>
          <w:caps/>
          <w:sz w:val="24"/>
          <w:szCs w:val="24"/>
          <w:lang w:val="en-US"/>
        </w:rPr>
        <w:lastRenderedPageBreak/>
        <w:t>MAIN PART</w:t>
      </w:r>
      <w:r w:rsidR="00117626">
        <w:rPr>
          <w:rFonts w:ascii="Times New Roman" w:hAnsi="Times New Roman"/>
          <w:b/>
          <w:caps/>
          <w:sz w:val="24"/>
          <w:szCs w:val="24"/>
          <w:lang w:val="en-US"/>
        </w:rPr>
        <w:t xml:space="preserve"> OF THE RESEARCH REPORT</w:t>
      </w:r>
      <w:r w:rsidR="00117626" w:rsidRPr="00117626">
        <w:rPr>
          <w:rFonts w:ascii="Times New Roman" w:hAnsi="Times New Roman"/>
          <w:b/>
          <w:caps/>
          <w:sz w:val="24"/>
          <w:szCs w:val="24"/>
          <w:lang w:val="en-US"/>
        </w:rPr>
        <w:t xml:space="preserve"> </w:t>
      </w:r>
    </w:p>
    <w:p w:rsidR="00A820F1" w:rsidRPr="001C4554" w:rsidRDefault="00A820F1" w:rsidP="00141BED">
      <w:pPr>
        <w:spacing w:after="0" w:line="360" w:lineRule="auto"/>
        <w:ind w:firstLine="567"/>
        <w:jc w:val="both"/>
        <w:rPr>
          <w:rFonts w:ascii="Times New Roman" w:hAnsi="Times New Roman"/>
          <w:b/>
          <w:bCs/>
          <w:sz w:val="24"/>
          <w:szCs w:val="24"/>
          <w:lang w:val="en-US"/>
        </w:rPr>
      </w:pPr>
    </w:p>
    <w:p w:rsidR="00A820F1" w:rsidRPr="001C4554" w:rsidRDefault="00A820F1" w:rsidP="00141BED">
      <w:pPr>
        <w:spacing w:after="0" w:line="360" w:lineRule="auto"/>
        <w:ind w:firstLine="567"/>
        <w:jc w:val="both"/>
        <w:rPr>
          <w:rFonts w:ascii="Times New Roman" w:hAnsi="Times New Roman"/>
          <w:b/>
          <w:bCs/>
          <w:sz w:val="24"/>
          <w:szCs w:val="24"/>
          <w:lang w:val="en-US"/>
        </w:rPr>
      </w:pPr>
      <w:r w:rsidRPr="001C4554">
        <w:rPr>
          <w:rFonts w:ascii="Times New Roman" w:hAnsi="Times New Roman"/>
          <w:b/>
          <w:bCs/>
          <w:sz w:val="24"/>
          <w:szCs w:val="24"/>
          <w:lang w:val="en-US"/>
        </w:rPr>
        <w:t xml:space="preserve">1 </w:t>
      </w:r>
      <w:r w:rsidR="00CE38AB" w:rsidRPr="001C4554">
        <w:rPr>
          <w:rFonts w:ascii="Times New Roman" w:hAnsi="Times New Roman"/>
          <w:b/>
          <w:bCs/>
          <w:sz w:val="24"/>
          <w:szCs w:val="24"/>
          <w:lang w:val="en-US"/>
        </w:rPr>
        <w:t>Types of work carried out</w:t>
      </w:r>
    </w:p>
    <w:p w:rsidR="001E453F" w:rsidRPr="00141BED" w:rsidRDefault="001E453F" w:rsidP="00141BED">
      <w:pPr>
        <w:spacing w:after="0" w:line="360" w:lineRule="auto"/>
        <w:ind w:firstLine="567"/>
        <w:jc w:val="both"/>
        <w:rPr>
          <w:rFonts w:ascii="Times New Roman" w:hAnsi="Times New Roman"/>
          <w:bCs/>
          <w:sz w:val="24"/>
          <w:szCs w:val="24"/>
          <w:lang w:val="en-US"/>
        </w:rPr>
      </w:pPr>
    </w:p>
    <w:p w:rsidR="00CE38AB" w:rsidRPr="00141BED" w:rsidRDefault="00CE38A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Work was carried out with domestic and foreign scientific and technical literature (146 sources) in order to collect and summarize information on existing developments in the field of dendrochronological studies of the influence of climatic and astrophysical factors, as well as forestry measures (tending cutting) on the radial growth of Scots pine.</w:t>
      </w:r>
    </w:p>
    <w:p w:rsidR="00CE38AB" w:rsidRPr="00141BED" w:rsidRDefault="00CE38A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analysis of existing methods of dendrochronological and dendroclimatic studies that can be applied to the work is conducted and the forest conditions of the research areas is carried out.</w:t>
      </w:r>
    </w:p>
    <w:p w:rsidR="00542BB5" w:rsidRPr="00141BED" w:rsidRDefault="00542BB5" w:rsidP="00141BED">
      <w:pPr>
        <w:spacing w:after="0" w:line="360" w:lineRule="auto"/>
        <w:ind w:firstLine="567"/>
        <w:jc w:val="both"/>
        <w:rPr>
          <w:rFonts w:ascii="Times New Roman" w:hAnsi="Times New Roman"/>
          <w:bCs/>
          <w:sz w:val="24"/>
          <w:szCs w:val="24"/>
          <w:lang w:val="en-US"/>
        </w:rPr>
      </w:pPr>
      <w:r w:rsidRPr="00141BED">
        <w:rPr>
          <w:rFonts w:ascii="Times New Roman" w:hAnsi="Times New Roman"/>
          <w:bCs/>
          <w:sz w:val="24"/>
          <w:szCs w:val="24"/>
          <w:lang w:val="en-US"/>
        </w:rPr>
        <w:t xml:space="preserve">A reconnaissance survey of areas of pine plantations in the Akmola region (MPI "Urumkai FE" (2018), MPI "Malo-Tyuktinskoe FE" (2018 and 2020), SNNP "Burabay" (2019)) and East Kazakhstan region (SFNR "Semey ormany" (2018-2020) was conducted. </w:t>
      </w:r>
    </w:p>
    <w:p w:rsidR="00A820F1" w:rsidRPr="00141BED" w:rsidRDefault="00320F5C" w:rsidP="00141BED">
      <w:pPr>
        <w:spacing w:after="0" w:line="360" w:lineRule="auto"/>
        <w:ind w:firstLine="567"/>
        <w:jc w:val="both"/>
        <w:rPr>
          <w:rFonts w:ascii="Times New Roman" w:hAnsi="Times New Roman"/>
          <w:bCs/>
          <w:sz w:val="24"/>
          <w:szCs w:val="24"/>
          <w:lang w:val="en-US"/>
        </w:rPr>
      </w:pPr>
      <w:r w:rsidRPr="00141BED">
        <w:rPr>
          <w:rFonts w:ascii="Times New Roman" w:hAnsi="Times New Roman"/>
          <w:bCs/>
          <w:sz w:val="24"/>
          <w:szCs w:val="24"/>
          <w:lang w:val="en-US"/>
        </w:rPr>
        <w:t xml:space="preserve">Trial plots (TP) and plots with the collection of experimental material (wood samples - cores) were laid to study the influence of climatic factors (temperature, precipitation), fires, </w:t>
      </w:r>
      <w:r w:rsidR="00265415" w:rsidRPr="00141BED">
        <w:rPr>
          <w:rFonts w:ascii="Times New Roman" w:hAnsi="Times New Roman"/>
          <w:bCs/>
          <w:sz w:val="24"/>
          <w:szCs w:val="24"/>
          <w:lang w:val="en-US"/>
        </w:rPr>
        <w:t xml:space="preserve">tending felling </w:t>
      </w:r>
      <w:r w:rsidRPr="00141BED">
        <w:rPr>
          <w:rFonts w:ascii="Times New Roman" w:hAnsi="Times New Roman"/>
          <w:bCs/>
          <w:sz w:val="24"/>
          <w:szCs w:val="24"/>
          <w:lang w:val="en-US"/>
        </w:rPr>
        <w:t xml:space="preserve">and solar activity on the radial </w:t>
      </w:r>
      <w:r w:rsidR="00265415" w:rsidRPr="00141BED">
        <w:rPr>
          <w:rFonts w:ascii="Times New Roman" w:hAnsi="Times New Roman"/>
          <w:bCs/>
          <w:sz w:val="24"/>
          <w:szCs w:val="24"/>
          <w:lang w:val="en-US"/>
        </w:rPr>
        <w:t>increment</w:t>
      </w:r>
      <w:r w:rsidRPr="00141BED">
        <w:rPr>
          <w:rFonts w:ascii="Times New Roman" w:hAnsi="Times New Roman"/>
          <w:bCs/>
          <w:sz w:val="24"/>
          <w:szCs w:val="24"/>
          <w:lang w:val="en-US"/>
        </w:rPr>
        <w:t xml:space="preserve"> of pine trees in the study areas. In 2018, 5 TPs were laid, 100 core samples were collected. To build generalized chronologies, 100 individual series we</w:t>
      </w:r>
      <w:r w:rsidR="00265415" w:rsidRPr="00141BED">
        <w:rPr>
          <w:rFonts w:ascii="Times New Roman" w:hAnsi="Times New Roman"/>
          <w:bCs/>
          <w:sz w:val="24"/>
          <w:szCs w:val="24"/>
          <w:lang w:val="en-US"/>
        </w:rPr>
        <w:t>re analyzed, with a total of 13</w:t>
      </w:r>
      <w:r w:rsidRPr="00141BED">
        <w:rPr>
          <w:rFonts w:ascii="Times New Roman" w:hAnsi="Times New Roman"/>
          <w:bCs/>
          <w:sz w:val="24"/>
          <w:szCs w:val="24"/>
          <w:lang w:val="en-US"/>
        </w:rPr>
        <w:t xml:space="preserve">990 rings. In 2019, 4 TPs were laid, 106 individual series were collected, </w:t>
      </w:r>
      <w:proofErr w:type="gramStart"/>
      <w:r w:rsidRPr="00141BED">
        <w:rPr>
          <w:rFonts w:ascii="Times New Roman" w:hAnsi="Times New Roman"/>
          <w:bCs/>
          <w:sz w:val="24"/>
          <w:szCs w:val="24"/>
          <w:lang w:val="en-US"/>
        </w:rPr>
        <w:t>a</w:t>
      </w:r>
      <w:proofErr w:type="gramEnd"/>
      <w:r w:rsidRPr="00141BED">
        <w:rPr>
          <w:rFonts w:ascii="Times New Roman" w:hAnsi="Times New Roman"/>
          <w:bCs/>
          <w:sz w:val="24"/>
          <w:szCs w:val="24"/>
          <w:lang w:val="en-US"/>
        </w:rPr>
        <w:t xml:space="preserve"> total of 6824 rings were analyzed. To obtain the taxational characteristics of the studied pine stands, 673 trees were measured. In 2020, test plots were laid at the "Semey Ormany" SFNR, "Burabay" SNNP, </w:t>
      </w:r>
      <w:proofErr w:type="gramStart"/>
      <w:r w:rsidR="00265415" w:rsidRPr="00141BED">
        <w:rPr>
          <w:rFonts w:ascii="Times New Roman" w:hAnsi="Times New Roman"/>
          <w:bCs/>
          <w:sz w:val="24"/>
          <w:szCs w:val="24"/>
          <w:lang w:val="en-US"/>
        </w:rPr>
        <w:t>MPI</w:t>
      </w:r>
      <w:proofErr w:type="gramEnd"/>
      <w:r w:rsidR="00265415" w:rsidRPr="00141BED">
        <w:rPr>
          <w:rFonts w:ascii="Times New Roman" w:hAnsi="Times New Roman"/>
          <w:bCs/>
          <w:sz w:val="24"/>
          <w:szCs w:val="24"/>
          <w:lang w:val="en-US"/>
        </w:rPr>
        <w:t xml:space="preserve"> </w:t>
      </w:r>
      <w:r w:rsidRPr="00141BED">
        <w:rPr>
          <w:rFonts w:ascii="Times New Roman" w:hAnsi="Times New Roman"/>
          <w:bCs/>
          <w:sz w:val="24"/>
          <w:szCs w:val="24"/>
          <w:lang w:val="en-US"/>
        </w:rPr>
        <w:t xml:space="preserve">"Malo-Tyuktinskoye FE" in natural and artificial plantations. 204 individual series were </w:t>
      </w:r>
      <w:proofErr w:type="gramStart"/>
      <w:r w:rsidR="00265415" w:rsidRPr="00141BED">
        <w:rPr>
          <w:rFonts w:ascii="Times New Roman" w:hAnsi="Times New Roman"/>
          <w:bCs/>
          <w:sz w:val="24"/>
          <w:szCs w:val="24"/>
          <w:lang w:val="en-US"/>
        </w:rPr>
        <w:t>collected,</w:t>
      </w:r>
      <w:proofErr w:type="gramEnd"/>
      <w:r w:rsidR="00265415" w:rsidRPr="00141BED">
        <w:rPr>
          <w:rFonts w:ascii="Times New Roman" w:hAnsi="Times New Roman"/>
          <w:bCs/>
          <w:sz w:val="24"/>
          <w:szCs w:val="24"/>
          <w:lang w:val="en-US"/>
        </w:rPr>
        <w:t xml:space="preserve"> taxation</w:t>
      </w:r>
      <w:r w:rsidRPr="00141BED">
        <w:rPr>
          <w:rFonts w:ascii="Times New Roman" w:hAnsi="Times New Roman"/>
          <w:bCs/>
          <w:sz w:val="24"/>
          <w:szCs w:val="24"/>
          <w:lang w:val="en-US"/>
        </w:rPr>
        <w:t xml:space="preserve"> characteristics of more than 800 trees were developed.</w:t>
      </w:r>
    </w:p>
    <w:p w:rsidR="00265415" w:rsidRPr="00141BED" w:rsidRDefault="00265415" w:rsidP="00141BED">
      <w:pPr>
        <w:spacing w:after="0" w:line="360" w:lineRule="auto"/>
        <w:ind w:firstLine="567"/>
        <w:jc w:val="both"/>
        <w:rPr>
          <w:rFonts w:ascii="Times New Roman" w:hAnsi="Times New Roman"/>
          <w:bCs/>
          <w:sz w:val="24"/>
          <w:szCs w:val="24"/>
          <w:lang w:val="en-US"/>
        </w:rPr>
      </w:pPr>
    </w:p>
    <w:p w:rsidR="009E2CEA" w:rsidRDefault="009E2CEA">
      <w:pPr>
        <w:spacing w:after="160" w:line="259" w:lineRule="auto"/>
        <w:rPr>
          <w:rFonts w:ascii="Times New Roman" w:hAnsi="Times New Roman"/>
          <w:b/>
          <w:bCs/>
          <w:sz w:val="24"/>
          <w:szCs w:val="24"/>
          <w:lang w:val="en-US"/>
        </w:rPr>
      </w:pPr>
      <w:r>
        <w:rPr>
          <w:rFonts w:ascii="Times New Roman" w:hAnsi="Times New Roman"/>
          <w:b/>
          <w:bCs/>
          <w:sz w:val="24"/>
          <w:szCs w:val="24"/>
          <w:lang w:val="en-US"/>
        </w:rPr>
        <w:br w:type="page"/>
      </w:r>
    </w:p>
    <w:p w:rsidR="00320F5C" w:rsidRPr="009E2CEA" w:rsidRDefault="00265415" w:rsidP="00141BED">
      <w:pPr>
        <w:spacing w:after="0" w:line="360" w:lineRule="auto"/>
        <w:ind w:firstLine="567"/>
        <w:jc w:val="both"/>
        <w:rPr>
          <w:rFonts w:ascii="Times New Roman" w:hAnsi="Times New Roman"/>
          <w:b/>
          <w:bCs/>
          <w:sz w:val="24"/>
          <w:szCs w:val="24"/>
          <w:lang w:val="en-US"/>
        </w:rPr>
      </w:pPr>
      <w:r w:rsidRPr="001C4554">
        <w:rPr>
          <w:rFonts w:ascii="Times New Roman" w:hAnsi="Times New Roman"/>
          <w:b/>
          <w:bCs/>
          <w:sz w:val="24"/>
          <w:szCs w:val="24"/>
          <w:lang w:val="en-US"/>
        </w:rPr>
        <w:lastRenderedPageBreak/>
        <w:t>2 Objects and methods of research</w:t>
      </w:r>
    </w:p>
    <w:p w:rsidR="00AE7AC1" w:rsidRPr="009E2CEA" w:rsidRDefault="00AE7AC1" w:rsidP="00141BED">
      <w:pPr>
        <w:spacing w:after="0" w:line="360" w:lineRule="auto"/>
        <w:ind w:firstLine="567"/>
        <w:jc w:val="both"/>
        <w:rPr>
          <w:rFonts w:ascii="Times New Roman" w:hAnsi="Times New Roman"/>
          <w:bCs/>
          <w:sz w:val="24"/>
          <w:szCs w:val="24"/>
          <w:lang w:val="en-US"/>
        </w:rPr>
      </w:pPr>
    </w:p>
    <w:p w:rsidR="00320F5C" w:rsidRPr="00141BED" w:rsidRDefault="00320F5C"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For research, forest areas of natural and artificial origin of pine plantations, in which the test plots were </w:t>
      </w:r>
      <w:proofErr w:type="gramStart"/>
      <w:r w:rsidRPr="00141BED">
        <w:rPr>
          <w:rFonts w:ascii="Times New Roman" w:hAnsi="Times New Roman"/>
          <w:sz w:val="24"/>
          <w:szCs w:val="24"/>
          <w:lang w:val="en-US"/>
        </w:rPr>
        <w:t>laid</w:t>
      </w:r>
      <w:proofErr w:type="gramEnd"/>
      <w:r w:rsidR="00265415" w:rsidRPr="00141BED">
        <w:rPr>
          <w:rFonts w:ascii="Times New Roman" w:hAnsi="Times New Roman"/>
          <w:sz w:val="24"/>
          <w:szCs w:val="24"/>
          <w:lang w:val="en-US"/>
        </w:rPr>
        <w:t xml:space="preserve"> w</w:t>
      </w:r>
      <w:r w:rsidR="00F73B6C" w:rsidRPr="00141BED">
        <w:rPr>
          <w:rFonts w:ascii="Times New Roman" w:hAnsi="Times New Roman"/>
          <w:sz w:val="24"/>
          <w:szCs w:val="24"/>
          <w:lang w:val="en-US"/>
        </w:rPr>
        <w:t>ere</w:t>
      </w:r>
      <w:r w:rsidR="00265415" w:rsidRPr="00141BED">
        <w:rPr>
          <w:rFonts w:ascii="Times New Roman" w:hAnsi="Times New Roman"/>
          <w:sz w:val="24"/>
          <w:szCs w:val="24"/>
          <w:lang w:val="en-US"/>
        </w:rPr>
        <w:t xml:space="preserve"> selected</w:t>
      </w:r>
      <w:r w:rsidRPr="00141BED">
        <w:rPr>
          <w:rFonts w:ascii="Times New Roman" w:hAnsi="Times New Roman"/>
          <w:sz w:val="24"/>
          <w:szCs w:val="24"/>
          <w:lang w:val="en-US"/>
        </w:rPr>
        <w:t>. Experimental test plots were laid in stands that were covered by forest fires (2018) or tending cuttings (2019). Control areas were selected in stands without the specified conditions.</w:t>
      </w:r>
    </w:p>
    <w:p w:rsidR="00320F5C" w:rsidRPr="00141BED" w:rsidRDefault="00320F5C"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In 2018, the objects of research were pine forests in the SFNR "Semey ormany" (East Kazakhstan region) (2 TPs), MPI "Urumkai FE" (2 TPs), MPI "Malo-Tyuktinskoe FE" (1 TP).</w:t>
      </w:r>
    </w:p>
    <w:p w:rsidR="00320F5C" w:rsidRPr="00141BED" w:rsidRDefault="00320F5C" w:rsidP="00141BED">
      <w:pPr>
        <w:spacing w:after="0" w:line="360" w:lineRule="auto"/>
        <w:ind w:firstLine="567"/>
        <w:jc w:val="both"/>
        <w:rPr>
          <w:rFonts w:ascii="Times New Roman" w:hAnsi="Times New Roman"/>
          <w:bCs/>
          <w:sz w:val="24"/>
          <w:szCs w:val="24"/>
          <w:lang w:val="en-US"/>
        </w:rPr>
      </w:pPr>
      <w:r w:rsidRPr="00141BED">
        <w:rPr>
          <w:rFonts w:ascii="Times New Roman" w:hAnsi="Times New Roman"/>
          <w:sz w:val="24"/>
          <w:szCs w:val="24"/>
          <w:lang w:val="en-US"/>
        </w:rPr>
        <w:t>In 2019, research was conducted in the "Semey ormany" SFNR (2 TPs), "Burabay" SNNP (2 TPs).</w:t>
      </w:r>
      <w:r w:rsidRPr="00141BED">
        <w:rPr>
          <w:rFonts w:ascii="Times New Roman" w:hAnsi="Times New Roman"/>
          <w:bCs/>
          <w:sz w:val="24"/>
          <w:szCs w:val="24"/>
          <w:lang w:val="en-US"/>
        </w:rPr>
        <w:t xml:space="preserve"> </w:t>
      </w:r>
    </w:p>
    <w:p w:rsidR="00D35478" w:rsidRPr="00141BED" w:rsidRDefault="00D35478"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In 2020, the objects of research were pine forests in the SFNR "Semey ormany</w:t>
      </w:r>
      <w:proofErr w:type="gramStart"/>
      <w:r w:rsidRPr="00141BED">
        <w:rPr>
          <w:rFonts w:ascii="Times New Roman" w:hAnsi="Times New Roman"/>
          <w:sz w:val="24"/>
          <w:szCs w:val="24"/>
          <w:lang w:val="en-US"/>
        </w:rPr>
        <w:t>"  (</w:t>
      </w:r>
      <w:proofErr w:type="gramEnd"/>
      <w:r w:rsidRPr="00141BED">
        <w:rPr>
          <w:rFonts w:ascii="Times New Roman" w:hAnsi="Times New Roman"/>
          <w:sz w:val="24"/>
          <w:szCs w:val="24"/>
          <w:lang w:val="en-US"/>
        </w:rPr>
        <w:t xml:space="preserve">2 TPs), </w:t>
      </w:r>
      <w:r w:rsidRPr="00141BED">
        <w:rPr>
          <w:rFonts w:ascii="Times New Roman" w:hAnsi="Times New Roman"/>
          <w:bCs/>
          <w:sz w:val="24"/>
          <w:szCs w:val="24"/>
          <w:lang w:val="en-US"/>
        </w:rPr>
        <w:t>"Burabay" SNNP</w:t>
      </w:r>
      <w:r w:rsidRPr="00141BED">
        <w:rPr>
          <w:rFonts w:ascii="Times New Roman" w:hAnsi="Times New Roman"/>
          <w:sz w:val="24"/>
          <w:szCs w:val="24"/>
          <w:lang w:val="en-US"/>
        </w:rPr>
        <w:t xml:space="preserve"> (2 TPs) and </w:t>
      </w:r>
      <w:r w:rsidRPr="00141BED">
        <w:rPr>
          <w:rFonts w:ascii="Times New Roman" w:hAnsi="Times New Roman"/>
          <w:bCs/>
          <w:sz w:val="24"/>
          <w:szCs w:val="24"/>
          <w:lang w:val="en-US"/>
        </w:rPr>
        <w:t>"Malo-Tyuktinskoye FE" MPI</w:t>
      </w:r>
      <w:r w:rsidRPr="00141BED">
        <w:rPr>
          <w:rFonts w:ascii="Times New Roman" w:hAnsi="Times New Roman"/>
          <w:sz w:val="24"/>
          <w:szCs w:val="24"/>
          <w:lang w:val="en-US"/>
        </w:rPr>
        <w:t xml:space="preserve"> (2 TPs).</w:t>
      </w:r>
    </w:p>
    <w:p w:rsidR="00D35478" w:rsidRPr="00141BED" w:rsidRDefault="00D35478"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laying of test plots (TP) and the determination of forest inventory parameters of forest stands were carried out in accordance with generally accepted methods in forestry and OST 56-69-83 [60]. The diameter of each tree at a height of 1.3 m was measured in two directions (with an accuracy of 0.1 cm) using a vernier caliper. The average diamet</w:t>
      </w:r>
      <w:r w:rsidR="00491910" w:rsidRPr="00141BED">
        <w:rPr>
          <w:rFonts w:ascii="Times New Roman" w:hAnsi="Times New Roman"/>
          <w:sz w:val="24"/>
          <w:szCs w:val="24"/>
          <w:lang w:val="en-US"/>
        </w:rPr>
        <w:t>er of the stand on the T</w:t>
      </w:r>
      <w:r w:rsidRPr="00141BED">
        <w:rPr>
          <w:rFonts w:ascii="Times New Roman" w:hAnsi="Times New Roman"/>
          <w:sz w:val="24"/>
          <w:szCs w:val="24"/>
          <w:lang w:val="en-US"/>
        </w:rPr>
        <w:t>P was calculated as the root mean square, through the sum of the cross-sectional areas. The height of the trees was determined by a reference altimeter (Suunto PM-5/1250) with an accuracy of 0.1 m, the number of measured trees was 50% of the total number of trees on the TP.</w:t>
      </w:r>
    </w:p>
    <w:p w:rsidR="0025069F" w:rsidRPr="00141BED" w:rsidRDefault="0025069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stock of stem wood was determined for each tree by sorting tables of volumes and output of business wood by categories of size of pine stands of the Kazakh hillocky area [61].</w:t>
      </w:r>
    </w:p>
    <w:p w:rsidR="00A820F1" w:rsidRPr="00141BED" w:rsidRDefault="0025069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Assessment of the vital state of trees (AVS) was carried out according to the method of V. A. Alekseev [62].</w:t>
      </w:r>
    </w:p>
    <w:p w:rsidR="0025069F" w:rsidRPr="00141BED" w:rsidRDefault="0025069F" w:rsidP="00141BED">
      <w:pPr>
        <w:spacing w:after="0" w:line="360" w:lineRule="auto"/>
        <w:ind w:firstLine="567"/>
        <w:jc w:val="both"/>
        <w:rPr>
          <w:rFonts w:ascii="Times New Roman" w:hAnsi="Times New Roman"/>
          <w:sz w:val="24"/>
          <w:szCs w:val="24"/>
          <w:lang w:val="en-US"/>
        </w:rPr>
      </w:pPr>
    </w:p>
    <w:p w:rsidR="00A820F1" w:rsidRPr="00141BED" w:rsidRDefault="009E2CEA" w:rsidP="009E2CEA">
      <w:pPr>
        <w:spacing w:after="0" w:line="360" w:lineRule="auto"/>
        <w:ind w:firstLine="567"/>
        <w:jc w:val="both"/>
        <w:rPr>
          <w:rFonts w:ascii="Times New Roman" w:eastAsia="Times New Roman" w:hAnsi="Times New Roman"/>
          <w:sz w:val="24"/>
          <w:szCs w:val="24"/>
          <w:lang w:val="en-US" w:eastAsia="ru-RU"/>
        </w:rPr>
      </w:pPr>
      <w:r>
        <w:rPr>
          <w:rFonts w:ascii="Times New Roman" w:hAnsi="Times New Roman"/>
          <w:sz w:val="24"/>
          <w:szCs w:val="24"/>
          <w:lang w:val="en-US" w:eastAsia="ru-RU"/>
        </w:rPr>
        <w:t xml:space="preserve">                                                  </w:t>
      </w:r>
      <m:oMath>
        <m:r>
          <w:rPr>
            <w:rFonts w:ascii="Cambria Math" w:eastAsia="Times New Roman" w:hAnsi="Cambria Math"/>
            <w:sz w:val="24"/>
            <w:szCs w:val="24"/>
            <w:lang w:eastAsia="ru-RU"/>
          </w:rPr>
          <m:t>L</m:t>
        </m:r>
        <m:r>
          <w:rPr>
            <w:rFonts w:ascii="Cambria Math" w:eastAsia="Times New Roman" w:hAnsi="Cambria Math"/>
            <w:sz w:val="24"/>
            <w:szCs w:val="24"/>
            <w:lang w:val="en-US" w:eastAsia="ru-RU"/>
          </w:rPr>
          <m:t>=</m:t>
        </m:r>
        <m:f>
          <m:fPr>
            <m:ctrlPr>
              <w:rPr>
                <w:rFonts w:ascii="Cambria Math" w:eastAsia="Times New Roman" w:hAnsi="Cambria Math"/>
                <w:i/>
                <w:sz w:val="24"/>
                <w:szCs w:val="24"/>
                <w:lang w:eastAsia="ru-RU"/>
              </w:rPr>
            </m:ctrlPr>
          </m:fPr>
          <m:num>
            <m:r>
              <w:rPr>
                <w:rFonts w:ascii="Cambria Math" w:eastAsia="Times New Roman" w:hAnsi="Cambria Math"/>
                <w:sz w:val="24"/>
                <w:szCs w:val="24"/>
                <w:lang w:val="en-US" w:eastAsia="ru-RU"/>
              </w:rPr>
              <m:t>100</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n</m:t>
                </m:r>
              </m:e>
              <m:sub>
                <m:r>
                  <w:rPr>
                    <w:rFonts w:ascii="Cambria Math" w:eastAsia="Times New Roman" w:hAnsi="Cambria Math"/>
                    <w:sz w:val="24"/>
                    <w:szCs w:val="24"/>
                    <w:lang w:val="en-US" w:eastAsia="ru-RU"/>
                  </w:rPr>
                  <m:t>1</m:t>
                </m:r>
              </m:sub>
            </m:sSub>
            <m:r>
              <w:rPr>
                <w:rFonts w:ascii="Cambria Math" w:eastAsia="Times New Roman" w:hAnsi="Cambria Math"/>
                <w:sz w:val="24"/>
                <w:szCs w:val="24"/>
                <w:lang w:val="en-US" w:eastAsia="ru-RU"/>
              </w:rPr>
              <m:t>+70</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n</m:t>
                </m:r>
              </m:e>
              <m:sub>
                <m:r>
                  <w:rPr>
                    <w:rFonts w:ascii="Cambria Math" w:eastAsia="Times New Roman" w:hAnsi="Cambria Math"/>
                    <w:sz w:val="24"/>
                    <w:szCs w:val="24"/>
                    <w:lang w:val="en-US" w:eastAsia="ru-RU"/>
                  </w:rPr>
                  <m:t>2</m:t>
                </m:r>
              </m:sub>
            </m:sSub>
            <m:r>
              <w:rPr>
                <w:rFonts w:ascii="Cambria Math" w:eastAsia="Times New Roman" w:hAnsi="Cambria Math"/>
                <w:sz w:val="24"/>
                <w:szCs w:val="24"/>
                <w:lang w:val="en-US" w:eastAsia="ru-RU"/>
              </w:rPr>
              <m:t>+40</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n</m:t>
                </m:r>
              </m:e>
              <m:sub>
                <m:r>
                  <w:rPr>
                    <w:rFonts w:ascii="Cambria Math" w:eastAsia="Times New Roman" w:hAnsi="Cambria Math"/>
                    <w:sz w:val="24"/>
                    <w:szCs w:val="24"/>
                    <w:lang w:val="en-US" w:eastAsia="ru-RU"/>
                  </w:rPr>
                  <m:t>3</m:t>
                </m:r>
              </m:sub>
            </m:sSub>
            <m:r>
              <w:rPr>
                <w:rFonts w:ascii="Cambria Math" w:eastAsia="Times New Roman" w:hAnsi="Cambria Math"/>
                <w:sz w:val="24"/>
                <w:szCs w:val="24"/>
                <w:lang w:val="en-US" w:eastAsia="ru-RU"/>
              </w:rPr>
              <m:t>+4</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n</m:t>
                </m:r>
              </m:e>
              <m:sub>
                <m:r>
                  <w:rPr>
                    <w:rFonts w:ascii="Cambria Math" w:eastAsia="Times New Roman" w:hAnsi="Cambria Math"/>
                    <w:sz w:val="24"/>
                    <w:szCs w:val="24"/>
                    <w:lang w:val="en-US" w:eastAsia="ru-RU"/>
                  </w:rPr>
                  <m:t>4</m:t>
                </m:r>
              </m:sub>
            </m:sSub>
          </m:num>
          <m:den>
            <m:r>
              <w:rPr>
                <w:rFonts w:ascii="Cambria Math" w:eastAsia="Times New Roman" w:hAnsi="Cambria Math"/>
                <w:sz w:val="24"/>
                <w:szCs w:val="24"/>
                <w:lang w:eastAsia="ru-RU"/>
              </w:rPr>
              <m:t>N</m:t>
            </m:r>
          </m:den>
        </m:f>
      </m:oMath>
      <w:r w:rsidR="00A820F1" w:rsidRPr="00141BED">
        <w:rPr>
          <w:rFonts w:ascii="Times New Roman" w:eastAsia="Times New Roman" w:hAnsi="Times New Roman"/>
          <w:sz w:val="24"/>
          <w:szCs w:val="24"/>
          <w:lang w:val="en-US" w:eastAsia="ru-RU"/>
        </w:rPr>
        <w:t xml:space="preserve">                                                (1)</w:t>
      </w:r>
    </w:p>
    <w:p w:rsidR="00A820F1" w:rsidRPr="00141BED" w:rsidRDefault="00A820F1" w:rsidP="00141BED">
      <w:pPr>
        <w:spacing w:after="0" w:line="360" w:lineRule="auto"/>
        <w:jc w:val="both"/>
        <w:rPr>
          <w:rFonts w:ascii="Times New Roman" w:eastAsia="Times New Roman" w:hAnsi="Times New Roman"/>
          <w:sz w:val="24"/>
          <w:szCs w:val="24"/>
          <w:lang w:val="en-US" w:eastAsia="ru-RU"/>
        </w:rPr>
      </w:pPr>
    </w:p>
    <w:p w:rsidR="002E3750" w:rsidRPr="00141BED" w:rsidRDefault="002E3750" w:rsidP="00141BED">
      <w:pPr>
        <w:spacing w:after="0" w:line="360" w:lineRule="auto"/>
        <w:ind w:firstLine="567"/>
        <w:jc w:val="both"/>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where L is the relative vital state of the stand, calculated from the number of trees; n</w:t>
      </w:r>
      <w:r w:rsidRPr="00141BED">
        <w:rPr>
          <w:rFonts w:ascii="Times New Roman" w:eastAsia="Times New Roman" w:hAnsi="Times New Roman"/>
          <w:sz w:val="24"/>
          <w:szCs w:val="24"/>
          <w:vertAlign w:val="subscript"/>
          <w:lang w:val="en-US" w:eastAsia="ru-RU"/>
        </w:rPr>
        <w:t>1</w:t>
      </w:r>
      <w:r w:rsidRPr="00141BED">
        <w:rPr>
          <w:rFonts w:ascii="Times New Roman" w:eastAsia="Times New Roman" w:hAnsi="Times New Roman"/>
          <w:sz w:val="24"/>
          <w:szCs w:val="24"/>
          <w:lang w:val="en-US" w:eastAsia="ru-RU"/>
        </w:rPr>
        <w:t xml:space="preserve"> – the number of healthy trees; n</w:t>
      </w:r>
      <w:r w:rsidRPr="00141BED">
        <w:rPr>
          <w:rFonts w:ascii="Times New Roman" w:eastAsia="Times New Roman" w:hAnsi="Times New Roman"/>
          <w:sz w:val="24"/>
          <w:szCs w:val="24"/>
          <w:vertAlign w:val="subscript"/>
          <w:lang w:val="en-US" w:eastAsia="ru-RU"/>
        </w:rPr>
        <w:t>2</w:t>
      </w:r>
      <w:r w:rsidRPr="00141BED">
        <w:rPr>
          <w:rFonts w:ascii="Times New Roman" w:eastAsia="Times New Roman" w:hAnsi="Times New Roman"/>
          <w:sz w:val="24"/>
          <w:szCs w:val="24"/>
          <w:lang w:val="en-US" w:eastAsia="ru-RU"/>
        </w:rPr>
        <w:t xml:space="preserve"> – weakened trees; n</w:t>
      </w:r>
      <w:r w:rsidRPr="00141BED">
        <w:rPr>
          <w:rFonts w:ascii="Times New Roman" w:eastAsia="Times New Roman" w:hAnsi="Times New Roman"/>
          <w:sz w:val="24"/>
          <w:szCs w:val="24"/>
          <w:vertAlign w:val="subscript"/>
          <w:lang w:val="en-US" w:eastAsia="ru-RU"/>
        </w:rPr>
        <w:t>3</w:t>
      </w:r>
      <w:r w:rsidRPr="00141BED">
        <w:rPr>
          <w:rFonts w:ascii="Times New Roman" w:eastAsia="Times New Roman" w:hAnsi="Times New Roman"/>
          <w:sz w:val="24"/>
          <w:szCs w:val="24"/>
          <w:lang w:val="en-US" w:eastAsia="ru-RU"/>
        </w:rPr>
        <w:t xml:space="preserve"> – severely weakened trees; n</w:t>
      </w:r>
      <w:r w:rsidRPr="00141BED">
        <w:rPr>
          <w:rFonts w:ascii="Times New Roman" w:eastAsia="Times New Roman" w:hAnsi="Times New Roman"/>
          <w:sz w:val="24"/>
          <w:szCs w:val="24"/>
          <w:vertAlign w:val="subscript"/>
          <w:lang w:val="en-US" w:eastAsia="ru-RU"/>
        </w:rPr>
        <w:t>4</w:t>
      </w:r>
      <w:r w:rsidRPr="00141BED">
        <w:rPr>
          <w:rFonts w:ascii="Times New Roman" w:eastAsia="Times New Roman" w:hAnsi="Times New Roman"/>
          <w:sz w:val="24"/>
          <w:szCs w:val="24"/>
          <w:lang w:val="en-US" w:eastAsia="ru-RU"/>
        </w:rPr>
        <w:t xml:space="preserve"> – dying trees; N – the number of trees in the sample area.</w:t>
      </w:r>
    </w:p>
    <w:p w:rsidR="002E3750" w:rsidRPr="00141BED" w:rsidRDefault="002E3750" w:rsidP="00141BED">
      <w:pPr>
        <w:spacing w:after="0" w:line="360" w:lineRule="auto"/>
        <w:ind w:firstLine="567"/>
        <w:jc w:val="both"/>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At a value of 100-80%, the stand was assessed as "healthy", at 79-50% ‒ damaged (weakened), at 49-20% – severely damaged (severely weakened), at 19% and below – completely destroyed.</w:t>
      </w:r>
    </w:p>
    <w:p w:rsidR="002E3750" w:rsidRPr="00141BED" w:rsidRDefault="002E3750" w:rsidP="00141BED">
      <w:pPr>
        <w:spacing w:after="0" w:line="360" w:lineRule="auto"/>
        <w:ind w:firstLine="567"/>
        <w:jc w:val="both"/>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The data obtained were statistically processed using Microsoft Excel spreadsheet tools.</w:t>
      </w:r>
    </w:p>
    <w:p w:rsidR="00A820F1" w:rsidRPr="00141BED" w:rsidRDefault="003A6A58" w:rsidP="00AE7AC1">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lastRenderedPageBreak/>
        <w:t>The selection of stands and trees for studying the influence of climatic and astrophysical factors, as well as fires, was carried out using the method of dendrochronological studies [35]. Core sampling is performed using an increment borer.</w:t>
      </w:r>
      <w:r w:rsidR="001E453F" w:rsidRPr="00141BED">
        <w:rPr>
          <w:rFonts w:ascii="Times New Roman" w:hAnsi="Times New Roman"/>
          <w:sz w:val="24"/>
          <w:szCs w:val="24"/>
          <w:lang w:val="en-US"/>
        </w:rPr>
        <w:t xml:space="preserve"> </w:t>
      </w:r>
      <w:r w:rsidR="00907CC6" w:rsidRPr="00141BED">
        <w:rPr>
          <w:rFonts w:ascii="Times New Roman" w:hAnsi="Times New Roman"/>
          <w:sz w:val="24"/>
          <w:szCs w:val="24"/>
          <w:lang w:val="en-US"/>
        </w:rPr>
        <w:t>Under laboratory conditions, pine tree rings were measured using a LINTAB 5 measuring system with an accuracy of 0.01 mm. Knowing the calendar date of formation of the peripheral ring, the dates of formation of the Central ring for most of the collected samples were recalculated. The samples were cross-dated using TSAP 3.0 [63] and COFECHA [64] programs. To eliminate the influence of tree age and other non-climatic signals on the dynamics of radial growth, individual growth series were standardized using a negative exponential function in the ARSTAN program [65].</w:t>
      </w:r>
    </w:p>
    <w:p w:rsidR="00907CC6" w:rsidRPr="00141BED" w:rsidRDefault="00907CC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The series for which the variability was not described by the exponential curve were excluded from the analysis. In the same program, on the basis of standardized individual chronologies, generalized TRC of </w:t>
      </w:r>
      <w:r w:rsidR="00F73B6C" w:rsidRPr="00141BED">
        <w:rPr>
          <w:rFonts w:ascii="Times New Roman" w:hAnsi="Times New Roman"/>
          <w:sz w:val="24"/>
          <w:szCs w:val="24"/>
          <w:lang w:val="en-US"/>
        </w:rPr>
        <w:t>increment</w:t>
      </w:r>
      <w:r w:rsidRPr="00141BED">
        <w:rPr>
          <w:rFonts w:ascii="Times New Roman" w:hAnsi="Times New Roman"/>
          <w:sz w:val="24"/>
          <w:szCs w:val="24"/>
          <w:lang w:val="en-US"/>
        </w:rPr>
        <w:t xml:space="preserve"> indices were obtained. Generalized TRCs were used to analyze the relationship between pine radial </w:t>
      </w:r>
      <w:r w:rsidR="00F73B6C" w:rsidRPr="00141BED">
        <w:rPr>
          <w:rFonts w:ascii="Times New Roman" w:hAnsi="Times New Roman"/>
          <w:sz w:val="24"/>
          <w:szCs w:val="24"/>
          <w:lang w:val="en-US"/>
        </w:rPr>
        <w:t>increment</w:t>
      </w:r>
      <w:r w:rsidRPr="00141BED">
        <w:rPr>
          <w:rFonts w:ascii="Times New Roman" w:hAnsi="Times New Roman"/>
          <w:sz w:val="24"/>
          <w:szCs w:val="24"/>
          <w:lang w:val="en-US"/>
        </w:rPr>
        <w:t xml:space="preserve"> and air temperature and precipitation. For this purpose, using the ARSTAN program [65], based on the results of the analysis of the principal components, the coefficients of correlation and linear regression were calculated, which describe the functions of the response of the increment to climatic variables. The synchronicity between the time series of the indices of the generalized chronology growth, precipitation and air temperature for different periods of time was also assessed. </w:t>
      </w:r>
    </w:p>
    <w:p w:rsidR="00092E7C" w:rsidRPr="00141BED" w:rsidRDefault="00092E7C"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To calculate the relationship of climatic factors with the indices of the annual ring width, meteorological data from the meteorological stations of the cities of Shchuchinsk and Semey were used. Correlation analysis between the indices of the annual ring width and climatic factors (temperature and precipitation) was performed using the Dendroclim 2002 program [66]. The floating correlation method (50-year moving average) was used to analyze the relationship between temperature and precipitation and growth indices for a year-on-year assessment of the dynamics of the correlation [66]. To identify the climatic signal in the tree rings, a standardization and double detrending procedure was carried out. The function of the negative exponent removed the age curve in individual series along the width of the annual ring. Possible stem tilt effects were removed using a cubic spline function with a step of 66% of the chronology length, which allows </w:t>
      </w:r>
      <w:proofErr w:type="gramStart"/>
      <w:r w:rsidRPr="00141BED">
        <w:rPr>
          <w:rFonts w:ascii="Times New Roman" w:hAnsi="Times New Roman"/>
          <w:sz w:val="24"/>
          <w:szCs w:val="24"/>
          <w:lang w:val="en-US"/>
        </w:rPr>
        <w:t>to preserve</w:t>
      </w:r>
      <w:proofErr w:type="gramEnd"/>
      <w:r w:rsidRPr="00141BED">
        <w:rPr>
          <w:rFonts w:ascii="Times New Roman" w:hAnsi="Times New Roman"/>
          <w:sz w:val="24"/>
          <w:szCs w:val="24"/>
          <w:lang w:val="en-US"/>
        </w:rPr>
        <w:t xml:space="preserve"> possible low-frequency fluctuations in annual growth. After standardization and indexing, indexed generalized chronologies of residuals were obtained, which contain a stronger climatic signal and are "bleached", that is, have a weak autocorrelation component or do not have it.</w:t>
      </w:r>
    </w:p>
    <w:p w:rsidR="00092E7C" w:rsidRPr="00141BED" w:rsidRDefault="00092E7C" w:rsidP="00141BED">
      <w:pPr>
        <w:spacing w:after="0" w:line="360" w:lineRule="auto"/>
        <w:ind w:firstLine="709"/>
        <w:jc w:val="both"/>
        <w:rPr>
          <w:rFonts w:ascii="Times New Roman" w:hAnsi="Times New Roman"/>
          <w:sz w:val="24"/>
          <w:szCs w:val="24"/>
          <w:lang w:val="en-US"/>
        </w:rPr>
      </w:pPr>
      <w:r w:rsidRPr="00141BED">
        <w:rPr>
          <w:rFonts w:ascii="Times New Roman" w:hAnsi="Times New Roman"/>
          <w:sz w:val="24"/>
          <w:szCs w:val="24"/>
          <w:lang w:val="en-US"/>
        </w:rPr>
        <w:t xml:space="preserve">The hydrothermal coefficient (HTC) is widely used in scientific research for a general assessment of the climate and the allocation of zones of different levels of moisture supply in </w:t>
      </w:r>
      <w:r w:rsidRPr="00141BED">
        <w:rPr>
          <w:rFonts w:ascii="Times New Roman" w:hAnsi="Times New Roman"/>
          <w:sz w:val="24"/>
          <w:szCs w:val="24"/>
          <w:lang w:val="en-US"/>
        </w:rPr>
        <w:lastRenderedPageBreak/>
        <w:t>order to determine the feasibility of growing certain crops. In forestry, the HTC is successfully used to determine the relationship of climatic factors such as temperature and precipitation on the growth and development of forest plantations.</w:t>
      </w:r>
    </w:p>
    <w:p w:rsidR="00092E7C" w:rsidRPr="00141BED" w:rsidRDefault="00092E7C" w:rsidP="00141BED">
      <w:pPr>
        <w:spacing w:after="0" w:line="360" w:lineRule="auto"/>
        <w:ind w:firstLine="709"/>
        <w:jc w:val="both"/>
        <w:rPr>
          <w:rFonts w:ascii="Times New Roman" w:hAnsi="Times New Roman"/>
          <w:sz w:val="24"/>
          <w:szCs w:val="24"/>
          <w:lang w:val="en-US"/>
        </w:rPr>
      </w:pPr>
      <w:r w:rsidRPr="00141BED">
        <w:rPr>
          <w:rFonts w:ascii="Times New Roman" w:hAnsi="Times New Roman"/>
          <w:sz w:val="24"/>
          <w:szCs w:val="24"/>
          <w:lang w:val="en-US"/>
        </w:rPr>
        <w:t>The hydrothermal coefficient (HTC) was calculated as the ratio of the incoming moisture and heat. Selyaninov's hydrothermal coefficient was taken as a basis:</w:t>
      </w:r>
    </w:p>
    <w:p w:rsidR="00A820F1" w:rsidRPr="00141BED" w:rsidRDefault="00A820F1" w:rsidP="00141BED">
      <w:pPr>
        <w:spacing w:after="0" w:line="360" w:lineRule="auto"/>
        <w:ind w:firstLine="709"/>
        <w:jc w:val="both"/>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 xml:space="preserve"> </w:t>
      </w:r>
    </w:p>
    <w:p w:rsidR="00A820F1" w:rsidRPr="00141BED" w:rsidRDefault="00A820F1" w:rsidP="00141BED">
      <w:pPr>
        <w:spacing w:after="0" w:line="360" w:lineRule="auto"/>
        <w:ind w:firstLine="709"/>
        <w:jc w:val="both"/>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 xml:space="preserve">                        </w:t>
      </w:r>
      <w:r w:rsidR="009E2CEA">
        <w:rPr>
          <w:rFonts w:ascii="Times New Roman" w:eastAsia="Times New Roman" w:hAnsi="Times New Roman"/>
          <w:sz w:val="24"/>
          <w:szCs w:val="24"/>
          <w:lang w:val="en-US" w:eastAsia="ru-RU"/>
        </w:rPr>
        <w:t xml:space="preserve">                       </w:t>
      </w:r>
      <w:r w:rsidRPr="00141BED">
        <w:rPr>
          <w:rFonts w:ascii="Times New Roman" w:eastAsia="Times New Roman" w:hAnsi="Times New Roman"/>
          <w:sz w:val="24"/>
          <w:szCs w:val="24"/>
          <w:lang w:val="en-US" w:eastAsia="ru-RU"/>
        </w:rPr>
        <w:t xml:space="preserve">   </w:t>
      </w:r>
      <w:r w:rsidRPr="00141BED">
        <w:rPr>
          <w:rFonts w:ascii="Times New Roman" w:eastAsia="Times New Roman" w:hAnsi="Times New Roman"/>
          <w:sz w:val="24"/>
          <w:szCs w:val="24"/>
          <w:lang w:eastAsia="ru-RU"/>
        </w:rPr>
        <w:t>К</w:t>
      </w:r>
      <w:r w:rsidRPr="00141BED">
        <w:rPr>
          <w:rFonts w:ascii="Times New Roman" w:eastAsia="Times New Roman" w:hAnsi="Times New Roman"/>
          <w:sz w:val="24"/>
          <w:szCs w:val="24"/>
          <w:lang w:val="en-US" w:eastAsia="ru-RU"/>
        </w:rPr>
        <w:t xml:space="preserve"> = R*10/</w:t>
      </w:r>
      <w:r w:rsidRPr="00141BED">
        <w:rPr>
          <w:rFonts w:ascii="Times New Roman" w:eastAsia="Times New Roman" w:hAnsi="Times New Roman"/>
          <w:sz w:val="24"/>
          <w:szCs w:val="24"/>
          <w:lang w:eastAsia="ru-RU"/>
        </w:rPr>
        <w:t>Σ</w:t>
      </w:r>
      <w:r w:rsidRPr="00141BED">
        <w:rPr>
          <w:rFonts w:ascii="Times New Roman" w:eastAsia="Times New Roman" w:hAnsi="Times New Roman"/>
          <w:sz w:val="24"/>
          <w:szCs w:val="24"/>
          <w:lang w:val="en-US" w:eastAsia="ru-RU"/>
        </w:rPr>
        <w:t>t                                                                  (2)</w:t>
      </w:r>
    </w:p>
    <w:p w:rsidR="00CD0758" w:rsidRPr="00141BED" w:rsidRDefault="00CD0758" w:rsidP="00141BED">
      <w:pPr>
        <w:spacing w:after="0" w:line="360" w:lineRule="auto"/>
        <w:ind w:firstLine="709"/>
        <w:jc w:val="both"/>
        <w:rPr>
          <w:rFonts w:ascii="Times New Roman" w:eastAsia="Times New Roman" w:hAnsi="Times New Roman"/>
          <w:sz w:val="24"/>
          <w:szCs w:val="24"/>
          <w:lang w:val="en-US" w:eastAsia="ru-RU"/>
        </w:rPr>
      </w:pPr>
    </w:p>
    <w:p w:rsidR="00CD0758" w:rsidRPr="00141BED" w:rsidRDefault="00CD0758" w:rsidP="00141BED">
      <w:pPr>
        <w:spacing w:after="0" w:line="360" w:lineRule="auto"/>
        <w:jc w:val="both"/>
        <w:rPr>
          <w:rFonts w:ascii="Times New Roman" w:eastAsia="Times New Roman" w:hAnsi="Times New Roman"/>
          <w:sz w:val="24"/>
          <w:szCs w:val="24"/>
          <w:lang w:val="en-US" w:eastAsia="ru-RU"/>
        </w:rPr>
      </w:pPr>
      <w:proofErr w:type="gramStart"/>
      <w:r w:rsidRPr="00141BED">
        <w:rPr>
          <w:rFonts w:ascii="Times New Roman" w:eastAsia="Times New Roman" w:hAnsi="Times New Roman"/>
          <w:sz w:val="24"/>
          <w:szCs w:val="24"/>
          <w:lang w:val="en-US" w:eastAsia="ru-RU"/>
        </w:rPr>
        <w:t>where</w:t>
      </w:r>
      <w:proofErr w:type="gramEnd"/>
      <w:r w:rsidRPr="00141BED">
        <w:rPr>
          <w:rFonts w:ascii="Times New Roman" w:eastAsia="Times New Roman" w:hAnsi="Times New Roman"/>
          <w:sz w:val="24"/>
          <w:szCs w:val="24"/>
          <w:lang w:val="en-US" w:eastAsia="ru-RU"/>
        </w:rPr>
        <w:t xml:space="preserve"> R - precipitation during the period when the temperature is above 10 ° C; t - is the air temperature.</w:t>
      </w:r>
    </w:p>
    <w:p w:rsidR="00A820F1" w:rsidRPr="00141BED" w:rsidRDefault="00CD0758" w:rsidP="00141BED">
      <w:pPr>
        <w:pStyle w:val="a3"/>
        <w:spacing w:after="0" w:line="360" w:lineRule="auto"/>
        <w:ind w:left="0" w:firstLine="567"/>
        <w:jc w:val="both"/>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To reveal solar activity, a table of changes in solar activity by years was used [67]. To determine the indexes of annual rings, the normalization was performed from the 10-year calendar norm according to the formula [53]:</w:t>
      </w:r>
    </w:p>
    <w:p w:rsidR="00CD0758" w:rsidRPr="00141BED" w:rsidRDefault="00CD0758" w:rsidP="00141BED">
      <w:pPr>
        <w:pStyle w:val="a3"/>
        <w:spacing w:after="0" w:line="360" w:lineRule="auto"/>
        <w:ind w:left="0" w:firstLine="567"/>
        <w:jc w:val="both"/>
        <w:rPr>
          <w:rFonts w:ascii="Times New Roman" w:hAnsi="Times New Roman"/>
          <w:sz w:val="24"/>
          <w:szCs w:val="24"/>
          <w:lang w:val="en-US"/>
        </w:rPr>
      </w:pPr>
    </w:p>
    <w:p w:rsidR="00A820F1" w:rsidRPr="00141BED" w:rsidRDefault="00A820F1" w:rsidP="00141BED">
      <w:pPr>
        <w:spacing w:after="0" w:line="360" w:lineRule="auto"/>
        <w:jc w:val="center"/>
        <w:rPr>
          <w:rFonts w:ascii="Times New Roman" w:hAnsi="Times New Roman"/>
          <w:i/>
          <w:sz w:val="24"/>
          <w:szCs w:val="24"/>
        </w:rPr>
      </w:pPr>
      <w:r w:rsidRPr="00141BED">
        <w:rPr>
          <w:rFonts w:ascii="Times New Roman" w:hAnsi="Times New Roman"/>
          <w:sz w:val="24"/>
          <w:szCs w:val="24"/>
          <w:lang w:val="en-US"/>
        </w:rPr>
        <w:t xml:space="preserve">                           </w:t>
      </w:r>
      <w:r w:rsidR="009E2CEA">
        <w:rPr>
          <w:rFonts w:ascii="Times New Roman" w:hAnsi="Times New Roman"/>
          <w:sz w:val="24"/>
          <w:szCs w:val="24"/>
          <w:lang w:val="en-US"/>
        </w:rPr>
        <w:t xml:space="preserve">                        </w:t>
      </w:r>
      <w:r w:rsidRPr="00141BED">
        <w:rPr>
          <w:rFonts w:ascii="Times New Roman" w:hAnsi="Times New Roman"/>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num>
          <m:den>
            <m:r>
              <w:rPr>
                <w:rFonts w:ascii="Cambria Math" w:hAnsi="Cambria Math"/>
                <w:sz w:val="24"/>
                <w:szCs w:val="24"/>
              </w:rPr>
              <m:t>N</m:t>
            </m:r>
          </m:den>
        </m:f>
        <m:r>
          <w:rPr>
            <w:rFonts w:ascii="Cambria Math" w:hAnsi="Cambria Math"/>
            <w:sz w:val="24"/>
            <w:szCs w:val="24"/>
          </w:rPr>
          <m:t>∙100%</m:t>
        </m:r>
      </m:oMath>
      <w:r w:rsidRPr="00141BED">
        <w:rPr>
          <w:rFonts w:ascii="Times New Roman" w:hAnsi="Times New Roman"/>
          <w:sz w:val="24"/>
          <w:szCs w:val="24"/>
        </w:rPr>
        <w:t xml:space="preserve">                                                                   (3)</w:t>
      </w:r>
    </w:p>
    <w:p w:rsidR="00A820F1" w:rsidRPr="00141BED" w:rsidRDefault="00A820F1" w:rsidP="00141BED">
      <w:pPr>
        <w:spacing w:after="0" w:line="360" w:lineRule="auto"/>
        <w:jc w:val="both"/>
        <w:rPr>
          <w:rFonts w:ascii="Times New Roman" w:hAnsi="Times New Roman"/>
          <w:sz w:val="24"/>
          <w:szCs w:val="24"/>
        </w:rPr>
      </w:pPr>
    </w:p>
    <w:p w:rsidR="00CD0758" w:rsidRPr="00141BED" w:rsidRDefault="00CD0758" w:rsidP="00141BED">
      <w:pPr>
        <w:spacing w:after="0" w:line="360" w:lineRule="auto"/>
        <w:jc w:val="both"/>
        <w:rPr>
          <w:rFonts w:ascii="Times New Roman" w:hAnsi="Times New Roman"/>
          <w:sz w:val="24"/>
          <w:szCs w:val="24"/>
          <w:lang w:val="en-US"/>
        </w:rPr>
      </w:pPr>
      <w:proofErr w:type="gramStart"/>
      <w:r w:rsidRPr="00141BED">
        <w:rPr>
          <w:rFonts w:ascii="Times New Roman" w:hAnsi="Times New Roman"/>
          <w:sz w:val="24"/>
          <w:szCs w:val="24"/>
          <w:lang w:val="en-US"/>
        </w:rPr>
        <w:t>where</w:t>
      </w:r>
      <w:proofErr w:type="gramEnd"/>
      <w:r w:rsidRPr="00141BED">
        <w:rPr>
          <w:rFonts w:ascii="Times New Roman" w:hAnsi="Times New Roman"/>
          <w:sz w:val="24"/>
          <w:szCs w:val="24"/>
          <w:lang w:val="en-US"/>
        </w:rPr>
        <w:t xml:space="preserve"> </w:t>
      </w:r>
      <w:r w:rsidRPr="00141BED">
        <w:rPr>
          <w:rFonts w:ascii="Times New Roman" w:hAnsi="Times New Roman"/>
          <w:i/>
          <w:sz w:val="24"/>
          <w:szCs w:val="24"/>
          <w:lang w:val="en-US"/>
        </w:rPr>
        <w:t>i</w:t>
      </w:r>
      <w:r w:rsidRPr="00141BED">
        <w:rPr>
          <w:rFonts w:ascii="Times New Roman" w:hAnsi="Times New Roman"/>
          <w:sz w:val="24"/>
          <w:szCs w:val="24"/>
          <w:lang w:val="en-US"/>
        </w:rPr>
        <w:t xml:space="preserve"> is the number of the year in the decade, </w:t>
      </w:r>
      <w:r w:rsidRPr="00141BED">
        <w:rPr>
          <w:rFonts w:ascii="Times New Roman" w:hAnsi="Times New Roman"/>
          <w:i/>
          <w:sz w:val="24"/>
          <w:szCs w:val="24"/>
          <w:lang w:val="en-US"/>
        </w:rPr>
        <w:t>Ii</w:t>
      </w:r>
      <w:r w:rsidRPr="00141BED">
        <w:rPr>
          <w:rFonts w:ascii="Times New Roman" w:hAnsi="Times New Roman"/>
          <w:sz w:val="24"/>
          <w:szCs w:val="24"/>
          <w:lang w:val="en-US"/>
        </w:rPr>
        <w:t xml:space="preserve"> is the index in the i-th year, </w:t>
      </w:r>
      <w:r w:rsidRPr="00141BED">
        <w:rPr>
          <w:rFonts w:ascii="Times New Roman" w:hAnsi="Times New Roman"/>
          <w:i/>
          <w:sz w:val="24"/>
          <w:szCs w:val="24"/>
          <w:lang w:val="en-US"/>
        </w:rPr>
        <w:t>x</w:t>
      </w:r>
      <w:r w:rsidRPr="00141BED">
        <w:rPr>
          <w:rFonts w:ascii="Times New Roman" w:hAnsi="Times New Roman"/>
          <w:i/>
          <w:sz w:val="24"/>
          <w:szCs w:val="24"/>
          <w:vertAlign w:val="subscript"/>
          <w:lang w:val="en-US"/>
        </w:rPr>
        <w:t>i</w:t>
      </w:r>
      <w:r w:rsidRPr="00141BED">
        <w:rPr>
          <w:rFonts w:ascii="Times New Roman" w:hAnsi="Times New Roman"/>
          <w:sz w:val="24"/>
          <w:szCs w:val="24"/>
          <w:vertAlign w:val="subscript"/>
          <w:lang w:val="en-US"/>
        </w:rPr>
        <w:t xml:space="preserve"> </w:t>
      </w:r>
      <w:r w:rsidRPr="00141BED">
        <w:rPr>
          <w:rFonts w:ascii="Times New Roman" w:hAnsi="Times New Roman"/>
          <w:sz w:val="24"/>
          <w:szCs w:val="24"/>
          <w:lang w:val="en-US"/>
        </w:rPr>
        <w:t>is the width of the annual ring in the</w:t>
      </w:r>
      <w:r w:rsidRPr="00141BED">
        <w:rPr>
          <w:rFonts w:ascii="Times New Roman" w:hAnsi="Times New Roman"/>
          <w:i/>
          <w:sz w:val="24"/>
          <w:szCs w:val="24"/>
          <w:lang w:val="en-US"/>
        </w:rPr>
        <w:t xml:space="preserve"> </w:t>
      </w:r>
      <w:r w:rsidRPr="00141BED">
        <w:rPr>
          <w:rFonts w:ascii="Times New Roman" w:hAnsi="Times New Roman"/>
          <w:sz w:val="24"/>
          <w:szCs w:val="24"/>
          <w:lang w:val="en-US"/>
        </w:rPr>
        <w:t xml:space="preserve">i-th year, </w:t>
      </w:r>
      <w:r w:rsidRPr="00141BED">
        <w:rPr>
          <w:rFonts w:ascii="Times New Roman" w:hAnsi="Times New Roman"/>
          <w:i/>
          <w:sz w:val="24"/>
          <w:szCs w:val="24"/>
          <w:lang w:val="en-US"/>
        </w:rPr>
        <w:t>N</w:t>
      </w:r>
      <w:r w:rsidRPr="00141BED">
        <w:rPr>
          <w:rFonts w:ascii="Times New Roman" w:hAnsi="Times New Roman"/>
          <w:sz w:val="24"/>
          <w:szCs w:val="24"/>
          <w:lang w:val="en-US"/>
        </w:rPr>
        <w:t xml:space="preserve"> is the 10-year calendar norm (average) [54].</w:t>
      </w:r>
    </w:p>
    <w:p w:rsidR="00A820F1" w:rsidRPr="00141BED" w:rsidRDefault="00CD0758"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To determine the anomalous index, the sum of increments in the years of the maximum value was related to similar data in the years with the minimum increment, as a percentage </w:t>
      </w:r>
      <w:r w:rsidR="00A820F1" w:rsidRPr="00141BED">
        <w:rPr>
          <w:rFonts w:ascii="Times New Roman" w:hAnsi="Times New Roman"/>
          <w:sz w:val="24"/>
          <w:szCs w:val="24"/>
          <w:lang w:val="en-US"/>
        </w:rPr>
        <w:t xml:space="preserve">[53]. </w:t>
      </w:r>
    </w:p>
    <w:p w:rsidR="00A820F1" w:rsidRPr="00141BED" w:rsidRDefault="00A820F1" w:rsidP="00141BED">
      <w:pPr>
        <w:spacing w:after="0" w:line="360" w:lineRule="auto"/>
        <w:ind w:firstLine="567"/>
        <w:jc w:val="both"/>
        <w:rPr>
          <w:rFonts w:ascii="Times New Roman" w:hAnsi="Times New Roman"/>
          <w:sz w:val="24"/>
          <w:szCs w:val="24"/>
          <w:lang w:val="en-US"/>
        </w:rPr>
      </w:pPr>
    </w:p>
    <w:p w:rsidR="00E60318" w:rsidRPr="001C4554" w:rsidRDefault="00A820F1" w:rsidP="00141BED">
      <w:pPr>
        <w:spacing w:after="0" w:line="360" w:lineRule="auto"/>
        <w:ind w:firstLine="567"/>
        <w:jc w:val="both"/>
        <w:rPr>
          <w:rFonts w:ascii="Times New Roman" w:hAnsi="Times New Roman"/>
          <w:b/>
          <w:sz w:val="24"/>
          <w:szCs w:val="24"/>
          <w:lang w:val="en-US"/>
        </w:rPr>
      </w:pPr>
      <w:r w:rsidRPr="001C4554">
        <w:rPr>
          <w:rFonts w:ascii="Times New Roman" w:hAnsi="Times New Roman"/>
          <w:b/>
          <w:sz w:val="24"/>
          <w:szCs w:val="24"/>
          <w:lang w:val="en-US"/>
        </w:rPr>
        <w:t xml:space="preserve">3 </w:t>
      </w:r>
      <w:r w:rsidR="00E60318" w:rsidRPr="001C4554">
        <w:rPr>
          <w:rFonts w:ascii="Times New Roman" w:hAnsi="Times New Roman"/>
          <w:b/>
          <w:sz w:val="24"/>
          <w:szCs w:val="24"/>
          <w:lang w:val="en-US"/>
        </w:rPr>
        <w:t>Research results</w:t>
      </w:r>
    </w:p>
    <w:p w:rsidR="00AE7AC1" w:rsidRPr="001C4554" w:rsidRDefault="00AE7AC1" w:rsidP="00141BED">
      <w:pPr>
        <w:spacing w:after="0" w:line="360" w:lineRule="auto"/>
        <w:ind w:firstLine="567"/>
        <w:jc w:val="both"/>
        <w:rPr>
          <w:rFonts w:ascii="Times New Roman" w:hAnsi="Times New Roman"/>
          <w:b/>
          <w:sz w:val="24"/>
          <w:szCs w:val="24"/>
          <w:lang w:val="en-US"/>
        </w:rPr>
      </w:pPr>
    </w:p>
    <w:p w:rsidR="00E60318" w:rsidRPr="001C4554" w:rsidRDefault="00E60318" w:rsidP="00141BED">
      <w:pPr>
        <w:spacing w:after="0" w:line="360" w:lineRule="auto"/>
        <w:ind w:firstLine="567"/>
        <w:jc w:val="both"/>
        <w:rPr>
          <w:rFonts w:ascii="Times New Roman" w:hAnsi="Times New Roman"/>
          <w:b/>
          <w:sz w:val="24"/>
          <w:szCs w:val="24"/>
          <w:lang w:val="en-US"/>
        </w:rPr>
      </w:pPr>
      <w:r w:rsidRPr="001C4554">
        <w:rPr>
          <w:rFonts w:ascii="Times New Roman" w:hAnsi="Times New Roman"/>
          <w:b/>
          <w:sz w:val="24"/>
          <w:szCs w:val="24"/>
          <w:lang w:val="en-US"/>
        </w:rPr>
        <w:t>3.1 Analysis of the influence of climatic factors on the dynamics of the radial growth of Scots pine</w:t>
      </w:r>
    </w:p>
    <w:p w:rsidR="00AE7AC1" w:rsidRPr="00AB5692" w:rsidRDefault="00AE7AC1" w:rsidP="00141BED">
      <w:pPr>
        <w:spacing w:after="0" w:line="360" w:lineRule="auto"/>
        <w:ind w:firstLine="567"/>
        <w:jc w:val="both"/>
        <w:rPr>
          <w:rFonts w:ascii="Times New Roman" w:hAnsi="Times New Roman"/>
          <w:sz w:val="24"/>
          <w:szCs w:val="24"/>
          <w:lang w:val="en-US"/>
        </w:rPr>
      </w:pPr>
    </w:p>
    <w:p w:rsidR="00A820F1" w:rsidRPr="00141BED" w:rsidRDefault="006D2C77"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The taxation characteristics of the studied stands </w:t>
      </w:r>
      <w:r w:rsidR="001E453F" w:rsidRPr="00141BED">
        <w:rPr>
          <w:rFonts w:ascii="Times New Roman" w:hAnsi="Times New Roman"/>
          <w:sz w:val="24"/>
          <w:szCs w:val="24"/>
          <w:lang w:val="en-US"/>
        </w:rPr>
        <w:t xml:space="preserve">of Akmola Region </w:t>
      </w:r>
      <w:r w:rsidRPr="00141BED">
        <w:rPr>
          <w:rFonts w:ascii="Times New Roman" w:hAnsi="Times New Roman"/>
          <w:sz w:val="24"/>
          <w:szCs w:val="24"/>
          <w:lang w:val="en-US"/>
        </w:rPr>
        <w:t xml:space="preserve">are given in Table 1, from which it can be seen that the objects of research are low-density stands (relative density P = 0.3-0.4), as well as sparse stands (P = 0.1). The pine forests are of the V-VII age class of pure composition. </w:t>
      </w:r>
      <w:r w:rsidR="0003522F" w:rsidRPr="00141BED">
        <w:rPr>
          <w:rFonts w:ascii="Times New Roman" w:hAnsi="Times New Roman"/>
          <w:sz w:val="24"/>
          <w:szCs w:val="24"/>
          <w:lang w:val="en-US"/>
        </w:rPr>
        <w:t>Productivity class is</w:t>
      </w:r>
      <w:r w:rsidRPr="00141BED">
        <w:rPr>
          <w:rFonts w:ascii="Times New Roman" w:hAnsi="Times New Roman"/>
          <w:sz w:val="24"/>
          <w:szCs w:val="24"/>
          <w:lang w:val="en-US"/>
        </w:rPr>
        <w:t xml:space="preserve"> IV-V. The type of forest is dry pine forest. According to the indicator of the vital state (AVS), the value of which ranges from 59.0 to 67.4%, the studied pine stands are characterized as "weakened".</w:t>
      </w:r>
    </w:p>
    <w:p w:rsidR="00A820F1" w:rsidRPr="00AB5692" w:rsidRDefault="00A820F1"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br w:type="page"/>
      </w:r>
      <w:r w:rsidR="00816AC4" w:rsidRPr="00141BED">
        <w:rPr>
          <w:rFonts w:ascii="Times New Roman" w:hAnsi="Times New Roman"/>
          <w:sz w:val="24"/>
          <w:szCs w:val="24"/>
          <w:lang w:val="en-US"/>
        </w:rPr>
        <w:lastRenderedPageBreak/>
        <w:t xml:space="preserve">Table 1 - Taxation characteristics of the studied pine stands </w:t>
      </w:r>
    </w:p>
    <w:tbl>
      <w:tblPr>
        <w:tblW w:w="9431"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833"/>
        <w:gridCol w:w="555"/>
        <w:gridCol w:w="676"/>
        <w:gridCol w:w="1024"/>
        <w:gridCol w:w="1001"/>
        <w:gridCol w:w="666"/>
        <w:gridCol w:w="851"/>
        <w:gridCol w:w="709"/>
        <w:gridCol w:w="708"/>
        <w:gridCol w:w="705"/>
        <w:gridCol w:w="15"/>
        <w:gridCol w:w="1003"/>
      </w:tblGrid>
      <w:tr w:rsidR="00AE7AC1" w:rsidRPr="00AE7AC1" w:rsidTr="00165AA4">
        <w:trPr>
          <w:trHeight w:val="434"/>
          <w:jc w:val="center"/>
        </w:trPr>
        <w:tc>
          <w:tcPr>
            <w:tcW w:w="685" w:type="dxa"/>
            <w:vMerge w:val="restart"/>
            <w:vAlign w:val="center"/>
          </w:tcPr>
          <w:p w:rsidR="00AE7AC1" w:rsidRPr="00AE7AC1" w:rsidRDefault="00AE7AC1" w:rsidP="00165AA4">
            <w:pPr>
              <w:spacing w:after="0" w:line="240" w:lineRule="auto"/>
              <w:ind w:firstLine="8"/>
              <w:jc w:val="center"/>
              <w:rPr>
                <w:rFonts w:ascii="Times New Roman" w:hAnsi="Times New Roman"/>
                <w:sz w:val="20"/>
                <w:szCs w:val="20"/>
              </w:rPr>
            </w:pPr>
            <w:r w:rsidRPr="00AE7AC1">
              <w:rPr>
                <w:rFonts w:ascii="Times New Roman" w:hAnsi="Times New Roman"/>
                <w:sz w:val="20"/>
                <w:szCs w:val="20"/>
              </w:rPr>
              <w:t>№</w:t>
            </w:r>
          </w:p>
          <w:p w:rsidR="00AE7AC1" w:rsidRPr="00AE7AC1" w:rsidRDefault="00AE7AC1" w:rsidP="00165AA4">
            <w:pPr>
              <w:spacing w:after="0" w:line="240" w:lineRule="auto"/>
              <w:ind w:firstLine="8"/>
              <w:jc w:val="center"/>
              <w:rPr>
                <w:rFonts w:ascii="Times New Roman" w:hAnsi="Times New Roman"/>
                <w:sz w:val="20"/>
                <w:szCs w:val="20"/>
                <w:lang w:val="en-US"/>
              </w:rPr>
            </w:pPr>
            <w:r w:rsidRPr="00AE7AC1">
              <w:rPr>
                <w:rFonts w:ascii="Times New Roman" w:hAnsi="Times New Roman"/>
                <w:sz w:val="20"/>
                <w:szCs w:val="20"/>
                <w:lang w:val="en-US"/>
              </w:rPr>
              <w:t>of</w:t>
            </w:r>
          </w:p>
          <w:p w:rsidR="00AE7AC1" w:rsidRPr="00AE7AC1" w:rsidRDefault="00AE7AC1" w:rsidP="00165AA4">
            <w:pPr>
              <w:spacing w:after="0" w:line="240" w:lineRule="auto"/>
              <w:ind w:firstLine="8"/>
              <w:jc w:val="center"/>
              <w:rPr>
                <w:rFonts w:ascii="Times New Roman" w:hAnsi="Times New Roman"/>
                <w:sz w:val="20"/>
                <w:szCs w:val="20"/>
                <w:lang w:val="en-US"/>
              </w:rPr>
            </w:pPr>
            <w:r w:rsidRPr="00AE7AC1">
              <w:rPr>
                <w:rFonts w:ascii="Times New Roman" w:hAnsi="Times New Roman"/>
                <w:sz w:val="20"/>
                <w:szCs w:val="20"/>
                <w:lang w:val="en-US"/>
              </w:rPr>
              <w:t xml:space="preserve">TP </w:t>
            </w:r>
          </w:p>
          <w:p w:rsidR="00AE7AC1" w:rsidRPr="00AE7AC1" w:rsidRDefault="00AE7AC1" w:rsidP="00165AA4">
            <w:pPr>
              <w:spacing w:after="0" w:line="240" w:lineRule="auto"/>
              <w:ind w:firstLine="8"/>
              <w:jc w:val="center"/>
              <w:rPr>
                <w:rFonts w:ascii="Times New Roman" w:hAnsi="Times New Roman"/>
                <w:sz w:val="20"/>
                <w:szCs w:val="20"/>
              </w:rPr>
            </w:pPr>
          </w:p>
        </w:tc>
        <w:tc>
          <w:tcPr>
            <w:tcW w:w="833" w:type="dxa"/>
            <w:vMerge w:val="restart"/>
            <w:vAlign w:val="center"/>
          </w:tcPr>
          <w:p w:rsidR="00AE7AC1" w:rsidRPr="00AE7AC1" w:rsidRDefault="00AE7AC1" w:rsidP="00165AA4">
            <w:pPr>
              <w:spacing w:after="0" w:line="240" w:lineRule="auto"/>
              <w:ind w:firstLine="8"/>
              <w:jc w:val="center"/>
              <w:rPr>
                <w:rFonts w:ascii="Times New Roman" w:hAnsi="Times New Roman"/>
                <w:sz w:val="20"/>
                <w:szCs w:val="20"/>
              </w:rPr>
            </w:pPr>
            <w:r w:rsidRPr="00AE7AC1">
              <w:rPr>
                <w:rFonts w:ascii="Times New Roman" w:hAnsi="Times New Roman"/>
                <w:sz w:val="20"/>
                <w:szCs w:val="20"/>
              </w:rPr>
              <w:t>Composition</w:t>
            </w:r>
          </w:p>
        </w:tc>
        <w:tc>
          <w:tcPr>
            <w:tcW w:w="555" w:type="dxa"/>
            <w:vMerge w:val="restart"/>
            <w:vAlign w:val="center"/>
          </w:tcPr>
          <w:p w:rsidR="00AE7AC1" w:rsidRPr="00AE7AC1" w:rsidRDefault="00AE7AC1" w:rsidP="00165AA4">
            <w:pPr>
              <w:spacing w:after="0" w:line="240" w:lineRule="auto"/>
              <w:ind w:firstLine="8"/>
              <w:jc w:val="center"/>
              <w:rPr>
                <w:rFonts w:ascii="Times New Roman" w:hAnsi="Times New Roman"/>
                <w:sz w:val="20"/>
                <w:szCs w:val="20"/>
              </w:rPr>
            </w:pPr>
            <w:r w:rsidRPr="00AE7AC1">
              <w:rPr>
                <w:rFonts w:ascii="Times New Roman" w:hAnsi="Times New Roman"/>
                <w:sz w:val="20"/>
                <w:szCs w:val="20"/>
              </w:rPr>
              <w:t>Forest type</w:t>
            </w:r>
          </w:p>
        </w:tc>
        <w:tc>
          <w:tcPr>
            <w:tcW w:w="676" w:type="dxa"/>
            <w:vMerge w:val="restart"/>
            <w:vAlign w:val="center"/>
          </w:tcPr>
          <w:p w:rsidR="00AE7AC1" w:rsidRPr="00AE7AC1" w:rsidRDefault="00AE7AC1" w:rsidP="00165AA4">
            <w:pPr>
              <w:spacing w:after="0" w:line="240" w:lineRule="auto"/>
              <w:ind w:firstLine="8"/>
              <w:jc w:val="center"/>
              <w:rPr>
                <w:rFonts w:ascii="Times New Roman" w:hAnsi="Times New Roman"/>
                <w:sz w:val="20"/>
                <w:szCs w:val="20"/>
              </w:rPr>
            </w:pPr>
            <w:r w:rsidRPr="00AE7AC1">
              <w:rPr>
                <w:rFonts w:ascii="Times New Roman" w:hAnsi="Times New Roman"/>
                <w:sz w:val="20"/>
                <w:szCs w:val="20"/>
              </w:rPr>
              <w:t>Age, years</w:t>
            </w:r>
          </w:p>
        </w:tc>
        <w:tc>
          <w:tcPr>
            <w:tcW w:w="2025" w:type="dxa"/>
            <w:gridSpan w:val="2"/>
            <w:vAlign w:val="center"/>
          </w:tcPr>
          <w:p w:rsidR="00AE7AC1" w:rsidRPr="00AE7AC1" w:rsidRDefault="00AE7AC1" w:rsidP="00165AA4">
            <w:pPr>
              <w:spacing w:after="0" w:line="240" w:lineRule="auto"/>
              <w:ind w:firstLine="8"/>
              <w:jc w:val="center"/>
              <w:rPr>
                <w:rFonts w:ascii="Times New Roman" w:hAnsi="Times New Roman"/>
                <w:sz w:val="20"/>
                <w:szCs w:val="20"/>
              </w:rPr>
            </w:pPr>
            <w:r w:rsidRPr="00AE7AC1">
              <w:rPr>
                <w:rFonts w:ascii="Times New Roman" w:hAnsi="Times New Roman"/>
                <w:sz w:val="20"/>
                <w:szCs w:val="20"/>
              </w:rPr>
              <w:t>Average</w:t>
            </w:r>
          </w:p>
        </w:tc>
        <w:tc>
          <w:tcPr>
            <w:tcW w:w="666" w:type="dxa"/>
            <w:vMerge w:val="restart"/>
            <w:vAlign w:val="center"/>
          </w:tcPr>
          <w:p w:rsidR="00AE7AC1" w:rsidRPr="00AE7AC1" w:rsidRDefault="00AE7AC1" w:rsidP="00165AA4">
            <w:pPr>
              <w:spacing w:after="0" w:line="240" w:lineRule="auto"/>
              <w:ind w:firstLine="8"/>
              <w:jc w:val="center"/>
              <w:rPr>
                <w:rFonts w:ascii="Times New Roman" w:hAnsi="Times New Roman"/>
                <w:sz w:val="20"/>
                <w:szCs w:val="20"/>
              </w:rPr>
            </w:pPr>
            <w:r w:rsidRPr="00AE7AC1">
              <w:rPr>
                <w:rFonts w:ascii="Times New Roman" w:hAnsi="Times New Roman"/>
                <w:sz w:val="20"/>
                <w:szCs w:val="20"/>
              </w:rPr>
              <w:t>Density, spec/ha</w:t>
            </w:r>
          </w:p>
        </w:tc>
        <w:tc>
          <w:tcPr>
            <w:tcW w:w="1560" w:type="dxa"/>
            <w:gridSpan w:val="2"/>
            <w:vAlign w:val="center"/>
          </w:tcPr>
          <w:p w:rsidR="00AE7AC1" w:rsidRPr="00AE7AC1" w:rsidRDefault="00AE7AC1" w:rsidP="00165AA4">
            <w:pPr>
              <w:spacing w:after="0" w:line="240" w:lineRule="auto"/>
              <w:ind w:firstLine="8"/>
              <w:jc w:val="center"/>
              <w:rPr>
                <w:rFonts w:ascii="Times New Roman" w:hAnsi="Times New Roman"/>
                <w:sz w:val="20"/>
                <w:szCs w:val="20"/>
              </w:rPr>
            </w:pPr>
            <w:r w:rsidRPr="00AE7AC1">
              <w:rPr>
                <w:rFonts w:ascii="Times New Roman" w:hAnsi="Times New Roman"/>
                <w:sz w:val="20"/>
                <w:szCs w:val="20"/>
              </w:rPr>
              <w:t>Completeness</w:t>
            </w:r>
          </w:p>
        </w:tc>
        <w:tc>
          <w:tcPr>
            <w:tcW w:w="708" w:type="dxa"/>
            <w:vMerge w:val="restart"/>
            <w:vAlign w:val="center"/>
          </w:tcPr>
          <w:p w:rsidR="00AE7AC1" w:rsidRPr="00AE7AC1" w:rsidRDefault="00AE7AC1" w:rsidP="00165AA4">
            <w:pPr>
              <w:spacing w:after="0" w:line="240" w:lineRule="auto"/>
              <w:ind w:firstLine="8"/>
              <w:rPr>
                <w:rFonts w:ascii="Times New Roman" w:hAnsi="Times New Roman"/>
                <w:sz w:val="20"/>
                <w:szCs w:val="20"/>
              </w:rPr>
            </w:pPr>
            <w:r w:rsidRPr="00AE7AC1">
              <w:rPr>
                <w:rFonts w:ascii="Times New Roman" w:hAnsi="Times New Roman"/>
                <w:sz w:val="20"/>
                <w:szCs w:val="20"/>
              </w:rPr>
              <w:t>Stoc</w:t>
            </w:r>
            <w:r w:rsidRPr="00AE7AC1">
              <w:rPr>
                <w:rFonts w:ascii="Times New Roman" w:hAnsi="Times New Roman"/>
                <w:sz w:val="20"/>
                <w:szCs w:val="20"/>
                <w:lang w:val="en-US"/>
              </w:rPr>
              <w:t>k</w:t>
            </w:r>
            <w:r w:rsidRPr="00AE7AC1">
              <w:rPr>
                <w:rFonts w:ascii="Times New Roman" w:hAnsi="Times New Roman"/>
                <w:sz w:val="20"/>
                <w:szCs w:val="20"/>
              </w:rPr>
              <w:t>,</w:t>
            </w:r>
            <w:r w:rsidRPr="00AE7AC1">
              <w:rPr>
                <w:rFonts w:ascii="Times New Roman" w:hAnsi="Times New Roman"/>
                <w:sz w:val="20"/>
                <w:szCs w:val="20"/>
                <w:lang w:val="en-US"/>
              </w:rPr>
              <w:t xml:space="preserve"> m</w:t>
            </w:r>
            <w:r w:rsidRPr="00AE7AC1">
              <w:rPr>
                <w:rFonts w:ascii="Times New Roman" w:hAnsi="Times New Roman"/>
                <w:sz w:val="20"/>
                <w:szCs w:val="20"/>
                <w:vertAlign w:val="superscript"/>
              </w:rPr>
              <w:t>3</w:t>
            </w:r>
            <w:r w:rsidRPr="00AE7AC1">
              <w:rPr>
                <w:rFonts w:ascii="Times New Roman" w:hAnsi="Times New Roman"/>
                <w:sz w:val="20"/>
                <w:szCs w:val="20"/>
              </w:rPr>
              <w:t>/</w:t>
            </w:r>
            <w:proofErr w:type="gramStart"/>
            <w:r w:rsidRPr="00AE7AC1">
              <w:rPr>
                <w:rFonts w:ascii="Times New Roman" w:hAnsi="Times New Roman"/>
                <w:sz w:val="20"/>
                <w:szCs w:val="20"/>
              </w:rPr>
              <w:t>h</w:t>
            </w:r>
            <w:proofErr w:type="gramEnd"/>
            <w:r w:rsidRPr="00AE7AC1">
              <w:rPr>
                <w:rFonts w:ascii="Times New Roman" w:hAnsi="Times New Roman"/>
                <w:sz w:val="20"/>
                <w:szCs w:val="20"/>
              </w:rPr>
              <w:t>а</w:t>
            </w:r>
          </w:p>
        </w:tc>
        <w:tc>
          <w:tcPr>
            <w:tcW w:w="720" w:type="dxa"/>
            <w:gridSpan w:val="2"/>
            <w:vMerge w:val="restart"/>
            <w:vAlign w:val="center"/>
          </w:tcPr>
          <w:p w:rsidR="00AE7AC1" w:rsidRPr="00AE7AC1" w:rsidRDefault="00AE7AC1" w:rsidP="00165AA4">
            <w:pPr>
              <w:spacing w:after="0" w:line="240" w:lineRule="auto"/>
              <w:ind w:firstLine="8"/>
              <w:jc w:val="center"/>
              <w:rPr>
                <w:rFonts w:ascii="Times New Roman" w:hAnsi="Times New Roman"/>
                <w:sz w:val="20"/>
                <w:szCs w:val="20"/>
              </w:rPr>
            </w:pPr>
            <w:r w:rsidRPr="00AE7AC1">
              <w:rPr>
                <w:rFonts w:ascii="Times New Roman" w:hAnsi="Times New Roman"/>
                <w:sz w:val="20"/>
                <w:szCs w:val="20"/>
                <w:lang w:val="en-US"/>
              </w:rPr>
              <w:t xml:space="preserve">Productivity </w:t>
            </w:r>
            <w:r w:rsidRPr="00AE7AC1">
              <w:rPr>
                <w:rFonts w:ascii="Times New Roman" w:hAnsi="Times New Roman"/>
                <w:sz w:val="20"/>
                <w:szCs w:val="20"/>
              </w:rPr>
              <w:t>class</w:t>
            </w:r>
          </w:p>
        </w:tc>
        <w:tc>
          <w:tcPr>
            <w:tcW w:w="1003" w:type="dxa"/>
            <w:vMerge w:val="restart"/>
            <w:vAlign w:val="center"/>
          </w:tcPr>
          <w:p w:rsidR="00AE7AC1" w:rsidRPr="00AE7AC1" w:rsidRDefault="00AE7AC1" w:rsidP="00165AA4">
            <w:pPr>
              <w:spacing w:after="0" w:line="240" w:lineRule="auto"/>
              <w:ind w:firstLine="8"/>
              <w:jc w:val="center"/>
              <w:rPr>
                <w:rFonts w:ascii="Times New Roman" w:hAnsi="Times New Roman"/>
                <w:sz w:val="20"/>
                <w:szCs w:val="20"/>
              </w:rPr>
            </w:pPr>
            <w:r w:rsidRPr="00AE7AC1">
              <w:rPr>
                <w:rFonts w:ascii="Times New Roman" w:hAnsi="Times New Roman"/>
                <w:sz w:val="20"/>
                <w:szCs w:val="20"/>
                <w:lang w:val="en-US"/>
              </w:rPr>
              <w:t>AVS</w:t>
            </w:r>
            <w:r w:rsidRPr="00AE7AC1">
              <w:rPr>
                <w:rFonts w:ascii="Times New Roman" w:hAnsi="Times New Roman"/>
                <w:sz w:val="20"/>
                <w:szCs w:val="20"/>
              </w:rPr>
              <w:t>, %</w:t>
            </w:r>
          </w:p>
        </w:tc>
      </w:tr>
      <w:tr w:rsidR="00AE7AC1" w:rsidRPr="00AE7AC1" w:rsidTr="00165AA4">
        <w:trPr>
          <w:trHeight w:val="1473"/>
          <w:jc w:val="center"/>
        </w:trPr>
        <w:tc>
          <w:tcPr>
            <w:tcW w:w="685" w:type="dxa"/>
            <w:vMerge/>
            <w:vAlign w:val="center"/>
          </w:tcPr>
          <w:p w:rsidR="00AE7AC1" w:rsidRPr="00AE7AC1" w:rsidRDefault="00AE7AC1" w:rsidP="00165AA4">
            <w:pPr>
              <w:spacing w:after="0" w:line="240" w:lineRule="auto"/>
              <w:jc w:val="center"/>
              <w:rPr>
                <w:rFonts w:ascii="Times New Roman" w:hAnsi="Times New Roman"/>
                <w:sz w:val="20"/>
                <w:szCs w:val="20"/>
              </w:rPr>
            </w:pPr>
          </w:p>
        </w:tc>
        <w:tc>
          <w:tcPr>
            <w:tcW w:w="833" w:type="dxa"/>
            <w:vMerge/>
            <w:vAlign w:val="center"/>
          </w:tcPr>
          <w:p w:rsidR="00AE7AC1" w:rsidRPr="00AE7AC1" w:rsidRDefault="00AE7AC1" w:rsidP="00165AA4">
            <w:pPr>
              <w:spacing w:after="0" w:line="240" w:lineRule="auto"/>
              <w:jc w:val="center"/>
              <w:rPr>
                <w:rFonts w:ascii="Times New Roman" w:hAnsi="Times New Roman"/>
                <w:sz w:val="20"/>
                <w:szCs w:val="20"/>
              </w:rPr>
            </w:pPr>
          </w:p>
        </w:tc>
        <w:tc>
          <w:tcPr>
            <w:tcW w:w="555" w:type="dxa"/>
            <w:vMerge/>
            <w:vAlign w:val="center"/>
          </w:tcPr>
          <w:p w:rsidR="00AE7AC1" w:rsidRPr="00AE7AC1" w:rsidRDefault="00AE7AC1" w:rsidP="00165AA4">
            <w:pPr>
              <w:spacing w:after="0" w:line="240" w:lineRule="auto"/>
              <w:jc w:val="center"/>
              <w:rPr>
                <w:rFonts w:ascii="Times New Roman" w:hAnsi="Times New Roman"/>
                <w:sz w:val="20"/>
                <w:szCs w:val="20"/>
              </w:rPr>
            </w:pPr>
          </w:p>
        </w:tc>
        <w:tc>
          <w:tcPr>
            <w:tcW w:w="676" w:type="dxa"/>
            <w:vMerge/>
            <w:vAlign w:val="center"/>
          </w:tcPr>
          <w:p w:rsidR="00AE7AC1" w:rsidRPr="00AE7AC1" w:rsidRDefault="00AE7AC1" w:rsidP="00165AA4">
            <w:pPr>
              <w:spacing w:after="0" w:line="240" w:lineRule="auto"/>
              <w:jc w:val="center"/>
              <w:rPr>
                <w:rFonts w:ascii="Times New Roman" w:hAnsi="Times New Roman"/>
                <w:sz w:val="20"/>
                <w:szCs w:val="20"/>
              </w:rPr>
            </w:pPr>
          </w:p>
        </w:tc>
        <w:tc>
          <w:tcPr>
            <w:tcW w:w="1024"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height (H), m</w:t>
            </w:r>
          </w:p>
        </w:tc>
        <w:tc>
          <w:tcPr>
            <w:tcW w:w="100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diameter (D),</w:t>
            </w:r>
          </w:p>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cm</w:t>
            </w:r>
          </w:p>
        </w:tc>
        <w:tc>
          <w:tcPr>
            <w:tcW w:w="666" w:type="dxa"/>
            <w:vMerge/>
            <w:vAlign w:val="center"/>
          </w:tcPr>
          <w:p w:rsidR="00AE7AC1" w:rsidRPr="00AE7AC1" w:rsidRDefault="00AE7AC1" w:rsidP="00165AA4">
            <w:pPr>
              <w:spacing w:after="0" w:line="240" w:lineRule="auto"/>
              <w:jc w:val="center"/>
              <w:rPr>
                <w:rFonts w:ascii="Times New Roman" w:hAnsi="Times New Roman"/>
                <w:sz w:val="20"/>
                <w:szCs w:val="20"/>
              </w:rPr>
            </w:pPr>
          </w:p>
        </w:tc>
        <w:tc>
          <w:tcPr>
            <w:tcW w:w="85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 xml:space="preserve">absolute, </w:t>
            </w:r>
          </w:p>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m</w:t>
            </w:r>
            <w:r w:rsidRPr="00AE7AC1">
              <w:rPr>
                <w:rFonts w:ascii="Times New Roman" w:hAnsi="Times New Roman"/>
                <w:sz w:val="20"/>
                <w:szCs w:val="20"/>
                <w:vertAlign w:val="superscript"/>
              </w:rPr>
              <w:t>2/</w:t>
            </w:r>
            <w:r w:rsidRPr="00AE7AC1">
              <w:rPr>
                <w:rFonts w:ascii="Times New Roman" w:hAnsi="Times New Roman"/>
                <w:sz w:val="20"/>
                <w:szCs w:val="20"/>
              </w:rPr>
              <w:t>ha</w:t>
            </w:r>
          </w:p>
        </w:tc>
        <w:tc>
          <w:tcPr>
            <w:tcW w:w="709"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relative (P)</w:t>
            </w:r>
          </w:p>
        </w:tc>
        <w:tc>
          <w:tcPr>
            <w:tcW w:w="708" w:type="dxa"/>
            <w:vMerge/>
            <w:vAlign w:val="center"/>
          </w:tcPr>
          <w:p w:rsidR="00AE7AC1" w:rsidRPr="00AE7AC1" w:rsidRDefault="00AE7AC1" w:rsidP="00165AA4">
            <w:pPr>
              <w:spacing w:after="0" w:line="240" w:lineRule="auto"/>
              <w:jc w:val="center"/>
              <w:rPr>
                <w:rFonts w:ascii="Times New Roman" w:hAnsi="Times New Roman"/>
                <w:sz w:val="20"/>
                <w:szCs w:val="20"/>
              </w:rPr>
            </w:pPr>
          </w:p>
        </w:tc>
        <w:tc>
          <w:tcPr>
            <w:tcW w:w="720" w:type="dxa"/>
            <w:gridSpan w:val="2"/>
            <w:vMerge/>
            <w:vAlign w:val="center"/>
          </w:tcPr>
          <w:p w:rsidR="00AE7AC1" w:rsidRPr="00AE7AC1" w:rsidRDefault="00AE7AC1" w:rsidP="00165AA4">
            <w:pPr>
              <w:spacing w:after="0" w:line="240" w:lineRule="auto"/>
              <w:jc w:val="center"/>
              <w:rPr>
                <w:rFonts w:ascii="Times New Roman" w:hAnsi="Times New Roman"/>
                <w:sz w:val="20"/>
                <w:szCs w:val="20"/>
              </w:rPr>
            </w:pPr>
          </w:p>
        </w:tc>
        <w:tc>
          <w:tcPr>
            <w:tcW w:w="1003" w:type="dxa"/>
            <w:vMerge/>
            <w:vAlign w:val="center"/>
          </w:tcPr>
          <w:p w:rsidR="00AE7AC1" w:rsidRPr="00AE7AC1" w:rsidRDefault="00AE7AC1" w:rsidP="00165AA4">
            <w:pPr>
              <w:spacing w:after="0" w:line="240" w:lineRule="auto"/>
              <w:jc w:val="center"/>
              <w:rPr>
                <w:rFonts w:ascii="Times New Roman" w:hAnsi="Times New Roman"/>
                <w:sz w:val="20"/>
                <w:szCs w:val="20"/>
              </w:rPr>
            </w:pPr>
          </w:p>
        </w:tc>
      </w:tr>
      <w:tr w:rsidR="00AE7AC1" w:rsidRPr="00AE7AC1" w:rsidTr="00165AA4">
        <w:trPr>
          <w:trHeight w:val="232"/>
          <w:jc w:val="center"/>
        </w:trPr>
        <w:tc>
          <w:tcPr>
            <w:tcW w:w="9431" w:type="dxa"/>
            <w:gridSpan w:val="13"/>
            <w:vAlign w:val="center"/>
          </w:tcPr>
          <w:p w:rsidR="00AE7AC1" w:rsidRPr="00A066AC" w:rsidRDefault="00A066AC" w:rsidP="00165AA4">
            <w:pPr>
              <w:spacing w:after="0" w:line="240" w:lineRule="auto"/>
              <w:jc w:val="center"/>
              <w:rPr>
                <w:rFonts w:ascii="Times New Roman" w:hAnsi="Times New Roman"/>
                <w:sz w:val="20"/>
                <w:szCs w:val="20"/>
              </w:rPr>
            </w:pPr>
            <w:r w:rsidRPr="00A066AC">
              <w:rPr>
                <w:rFonts w:ascii="Times New Roman" w:hAnsi="Times New Roman"/>
                <w:sz w:val="20"/>
                <w:szCs w:val="20"/>
                <w:lang w:val="en-US"/>
              </w:rPr>
              <w:t>SFNR "Semey ormany"</w:t>
            </w:r>
          </w:p>
        </w:tc>
      </w:tr>
      <w:tr w:rsidR="00AE7AC1" w:rsidRPr="00AE7AC1" w:rsidTr="00165AA4">
        <w:trPr>
          <w:trHeight w:val="307"/>
          <w:jc w:val="center"/>
        </w:trPr>
        <w:tc>
          <w:tcPr>
            <w:tcW w:w="68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3-С</w:t>
            </w:r>
          </w:p>
        </w:tc>
        <w:tc>
          <w:tcPr>
            <w:tcW w:w="833"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10С</w:t>
            </w:r>
          </w:p>
        </w:tc>
        <w:tc>
          <w:tcPr>
            <w:tcW w:w="555" w:type="dxa"/>
            <w:vAlign w:val="center"/>
          </w:tcPr>
          <w:p w:rsidR="00AE7AC1" w:rsidRPr="00AE7AC1" w:rsidRDefault="00AE7AC1" w:rsidP="00165AA4">
            <w:pPr>
              <w:spacing w:after="0" w:line="240" w:lineRule="auto"/>
              <w:jc w:val="center"/>
              <w:rPr>
                <w:rFonts w:ascii="Times New Roman" w:hAnsi="Times New Roman"/>
                <w:sz w:val="20"/>
                <w:szCs w:val="20"/>
                <w:vertAlign w:val="subscript"/>
              </w:rPr>
            </w:pPr>
            <w:r w:rsidRPr="00AE7AC1">
              <w:rPr>
                <w:rFonts w:ascii="Times New Roman" w:hAnsi="Times New Roman"/>
                <w:sz w:val="20"/>
                <w:szCs w:val="20"/>
              </w:rPr>
              <w:t>С</w:t>
            </w:r>
            <w:proofErr w:type="gramStart"/>
            <w:r w:rsidRPr="00AE7AC1">
              <w:rPr>
                <w:rFonts w:ascii="Times New Roman" w:hAnsi="Times New Roman"/>
                <w:sz w:val="20"/>
                <w:szCs w:val="20"/>
                <w:vertAlign w:val="subscript"/>
              </w:rPr>
              <w:t>2</w:t>
            </w:r>
            <w:proofErr w:type="gramEnd"/>
          </w:p>
        </w:tc>
        <w:tc>
          <w:tcPr>
            <w:tcW w:w="67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130</w:t>
            </w:r>
          </w:p>
        </w:tc>
        <w:tc>
          <w:tcPr>
            <w:tcW w:w="1024" w:type="dxa"/>
            <w:vAlign w:val="center"/>
          </w:tcPr>
          <w:p w:rsidR="00AE7AC1" w:rsidRPr="00A066AC" w:rsidRDefault="00AE7AC1" w:rsidP="00165AA4">
            <w:pPr>
              <w:spacing w:after="0" w:line="240" w:lineRule="auto"/>
              <w:jc w:val="center"/>
              <w:rPr>
                <w:rFonts w:ascii="Times New Roman" w:hAnsi="Times New Roman"/>
                <w:sz w:val="20"/>
                <w:szCs w:val="20"/>
              </w:rPr>
            </w:pPr>
            <w:r w:rsidRPr="00A066AC">
              <w:rPr>
                <w:rFonts w:ascii="Times New Roman" w:hAnsi="Times New Roman"/>
                <w:sz w:val="20"/>
                <w:szCs w:val="20"/>
              </w:rPr>
              <w:t>16,8±0,3</w:t>
            </w:r>
          </w:p>
        </w:tc>
        <w:tc>
          <w:tcPr>
            <w:tcW w:w="1001" w:type="dxa"/>
            <w:vAlign w:val="center"/>
          </w:tcPr>
          <w:p w:rsidR="00AE7AC1" w:rsidRPr="00A066AC" w:rsidRDefault="00AE7AC1" w:rsidP="00165AA4">
            <w:pPr>
              <w:spacing w:after="0" w:line="240" w:lineRule="auto"/>
              <w:jc w:val="center"/>
              <w:rPr>
                <w:rFonts w:ascii="Times New Roman" w:hAnsi="Times New Roman"/>
                <w:sz w:val="20"/>
                <w:szCs w:val="20"/>
              </w:rPr>
            </w:pPr>
            <w:r w:rsidRPr="00A066AC">
              <w:rPr>
                <w:rFonts w:ascii="Times New Roman" w:hAnsi="Times New Roman"/>
                <w:sz w:val="20"/>
                <w:szCs w:val="20"/>
              </w:rPr>
              <w:t>31,6±1,1</w:t>
            </w:r>
          </w:p>
        </w:tc>
        <w:tc>
          <w:tcPr>
            <w:tcW w:w="66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200</w:t>
            </w:r>
          </w:p>
        </w:tc>
        <w:tc>
          <w:tcPr>
            <w:tcW w:w="85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16,7</w:t>
            </w:r>
          </w:p>
        </w:tc>
        <w:tc>
          <w:tcPr>
            <w:tcW w:w="709"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0,4</w:t>
            </w:r>
          </w:p>
        </w:tc>
        <w:tc>
          <w:tcPr>
            <w:tcW w:w="708"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133</w:t>
            </w:r>
          </w:p>
        </w:tc>
        <w:tc>
          <w:tcPr>
            <w:tcW w:w="70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V</w:t>
            </w:r>
          </w:p>
        </w:tc>
        <w:tc>
          <w:tcPr>
            <w:tcW w:w="1018" w:type="dxa"/>
            <w:gridSpan w:val="2"/>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63,6±0,6</w:t>
            </w:r>
          </w:p>
        </w:tc>
      </w:tr>
      <w:tr w:rsidR="00AE7AC1" w:rsidRPr="00AE7AC1" w:rsidTr="00165AA4">
        <w:trPr>
          <w:trHeight w:val="242"/>
          <w:jc w:val="center"/>
        </w:trPr>
        <w:tc>
          <w:tcPr>
            <w:tcW w:w="68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4-С</w:t>
            </w:r>
          </w:p>
        </w:tc>
        <w:tc>
          <w:tcPr>
            <w:tcW w:w="833"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10С</w:t>
            </w:r>
          </w:p>
        </w:tc>
        <w:tc>
          <w:tcPr>
            <w:tcW w:w="555" w:type="dxa"/>
            <w:vAlign w:val="center"/>
          </w:tcPr>
          <w:p w:rsidR="00AE7AC1" w:rsidRPr="00AE7AC1" w:rsidRDefault="00AE7AC1" w:rsidP="00165AA4">
            <w:pPr>
              <w:spacing w:after="0" w:line="240" w:lineRule="auto"/>
              <w:jc w:val="center"/>
              <w:rPr>
                <w:rFonts w:ascii="Times New Roman" w:hAnsi="Times New Roman"/>
                <w:sz w:val="20"/>
                <w:szCs w:val="20"/>
                <w:vertAlign w:val="subscript"/>
              </w:rPr>
            </w:pPr>
            <w:r w:rsidRPr="00AE7AC1">
              <w:rPr>
                <w:rFonts w:ascii="Times New Roman" w:hAnsi="Times New Roman"/>
                <w:sz w:val="20"/>
                <w:szCs w:val="20"/>
              </w:rPr>
              <w:t>С</w:t>
            </w:r>
            <w:proofErr w:type="gramStart"/>
            <w:r w:rsidRPr="00AE7AC1">
              <w:rPr>
                <w:rFonts w:ascii="Times New Roman" w:hAnsi="Times New Roman"/>
                <w:sz w:val="20"/>
                <w:szCs w:val="20"/>
                <w:vertAlign w:val="subscript"/>
              </w:rPr>
              <w:t>2</w:t>
            </w:r>
            <w:proofErr w:type="gramEnd"/>
          </w:p>
        </w:tc>
        <w:tc>
          <w:tcPr>
            <w:tcW w:w="67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130</w:t>
            </w:r>
          </w:p>
        </w:tc>
        <w:tc>
          <w:tcPr>
            <w:tcW w:w="1024" w:type="dxa"/>
            <w:vAlign w:val="center"/>
          </w:tcPr>
          <w:p w:rsidR="00AE7AC1" w:rsidRPr="00A066AC" w:rsidRDefault="00AE7AC1" w:rsidP="00165AA4">
            <w:pPr>
              <w:spacing w:after="0" w:line="240" w:lineRule="auto"/>
              <w:jc w:val="center"/>
              <w:rPr>
                <w:rFonts w:ascii="Times New Roman" w:hAnsi="Times New Roman"/>
                <w:sz w:val="20"/>
                <w:szCs w:val="20"/>
              </w:rPr>
            </w:pPr>
            <w:r w:rsidRPr="00A066AC">
              <w:rPr>
                <w:rFonts w:ascii="Times New Roman" w:hAnsi="Times New Roman"/>
                <w:sz w:val="20"/>
                <w:szCs w:val="20"/>
              </w:rPr>
              <w:t>18,1±0,3</w:t>
            </w:r>
          </w:p>
        </w:tc>
        <w:tc>
          <w:tcPr>
            <w:tcW w:w="1001" w:type="dxa"/>
            <w:vAlign w:val="center"/>
          </w:tcPr>
          <w:p w:rsidR="00AE7AC1" w:rsidRPr="00A066AC" w:rsidRDefault="00AE7AC1" w:rsidP="00165AA4">
            <w:pPr>
              <w:spacing w:after="0" w:line="240" w:lineRule="auto"/>
              <w:jc w:val="center"/>
              <w:rPr>
                <w:rFonts w:ascii="Times New Roman" w:hAnsi="Times New Roman"/>
                <w:sz w:val="20"/>
                <w:szCs w:val="20"/>
              </w:rPr>
            </w:pPr>
            <w:r w:rsidRPr="00A066AC">
              <w:rPr>
                <w:rFonts w:ascii="Times New Roman" w:hAnsi="Times New Roman"/>
                <w:sz w:val="20"/>
                <w:szCs w:val="20"/>
              </w:rPr>
              <w:t>30,4±1,0</w:t>
            </w:r>
          </w:p>
        </w:tc>
        <w:tc>
          <w:tcPr>
            <w:tcW w:w="66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166</w:t>
            </w:r>
          </w:p>
        </w:tc>
        <w:tc>
          <w:tcPr>
            <w:tcW w:w="85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12,7</w:t>
            </w:r>
          </w:p>
        </w:tc>
        <w:tc>
          <w:tcPr>
            <w:tcW w:w="709"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0,3</w:t>
            </w:r>
          </w:p>
        </w:tc>
        <w:tc>
          <w:tcPr>
            <w:tcW w:w="708"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106</w:t>
            </w:r>
          </w:p>
        </w:tc>
        <w:tc>
          <w:tcPr>
            <w:tcW w:w="70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IV</w:t>
            </w:r>
          </w:p>
        </w:tc>
        <w:tc>
          <w:tcPr>
            <w:tcW w:w="1018" w:type="dxa"/>
            <w:gridSpan w:val="2"/>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59,8±0,6</w:t>
            </w:r>
          </w:p>
        </w:tc>
      </w:tr>
      <w:tr w:rsidR="00AE7AC1" w:rsidRPr="00AE7AC1" w:rsidTr="00165AA4">
        <w:trPr>
          <w:trHeight w:val="162"/>
          <w:jc w:val="center"/>
        </w:trPr>
        <w:tc>
          <w:tcPr>
            <w:tcW w:w="9431" w:type="dxa"/>
            <w:gridSpan w:val="13"/>
            <w:vAlign w:val="center"/>
          </w:tcPr>
          <w:p w:rsidR="00AE7AC1" w:rsidRPr="00A066AC" w:rsidRDefault="00A066AC" w:rsidP="00165AA4">
            <w:pPr>
              <w:spacing w:after="0" w:line="240" w:lineRule="auto"/>
              <w:jc w:val="center"/>
              <w:rPr>
                <w:rFonts w:ascii="Times New Roman" w:hAnsi="Times New Roman"/>
                <w:sz w:val="20"/>
                <w:szCs w:val="20"/>
              </w:rPr>
            </w:pPr>
            <w:r w:rsidRPr="00A066AC">
              <w:rPr>
                <w:rFonts w:ascii="Times New Roman" w:hAnsi="Times New Roman"/>
                <w:noProof/>
                <w:sz w:val="20"/>
                <w:szCs w:val="20"/>
                <w:lang w:val="en-US" w:eastAsia="ru-RU"/>
              </w:rPr>
              <w:t>MPI "Urumkayskoye FE"</w:t>
            </w:r>
          </w:p>
        </w:tc>
      </w:tr>
      <w:tr w:rsidR="00AE7AC1" w:rsidRPr="00AE7AC1" w:rsidTr="00165AA4">
        <w:trPr>
          <w:trHeight w:val="272"/>
          <w:jc w:val="center"/>
        </w:trPr>
        <w:tc>
          <w:tcPr>
            <w:tcW w:w="68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1-А</w:t>
            </w:r>
          </w:p>
        </w:tc>
        <w:tc>
          <w:tcPr>
            <w:tcW w:w="833"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10С</w:t>
            </w:r>
          </w:p>
        </w:tc>
        <w:tc>
          <w:tcPr>
            <w:tcW w:w="55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С</w:t>
            </w:r>
            <w:proofErr w:type="gramStart"/>
            <w:r w:rsidRPr="00AE7AC1">
              <w:rPr>
                <w:rFonts w:ascii="Times New Roman" w:hAnsi="Times New Roman"/>
                <w:sz w:val="20"/>
                <w:szCs w:val="20"/>
                <w:vertAlign w:val="subscript"/>
              </w:rPr>
              <w:t>2</w:t>
            </w:r>
            <w:proofErr w:type="gramEnd"/>
          </w:p>
        </w:tc>
        <w:tc>
          <w:tcPr>
            <w:tcW w:w="67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110</w:t>
            </w:r>
          </w:p>
        </w:tc>
        <w:tc>
          <w:tcPr>
            <w:tcW w:w="1024" w:type="dxa"/>
            <w:vAlign w:val="center"/>
          </w:tcPr>
          <w:p w:rsidR="00AE7AC1" w:rsidRPr="00A066AC" w:rsidRDefault="00AE7AC1" w:rsidP="00165AA4">
            <w:pPr>
              <w:spacing w:after="0" w:line="240" w:lineRule="auto"/>
              <w:jc w:val="center"/>
              <w:rPr>
                <w:rFonts w:ascii="Times New Roman" w:hAnsi="Times New Roman"/>
                <w:sz w:val="20"/>
                <w:szCs w:val="20"/>
              </w:rPr>
            </w:pPr>
            <w:r w:rsidRPr="00A066AC">
              <w:rPr>
                <w:rFonts w:ascii="Times New Roman" w:hAnsi="Times New Roman"/>
                <w:sz w:val="20"/>
                <w:szCs w:val="20"/>
              </w:rPr>
              <w:t>17,7±0,4</w:t>
            </w:r>
          </w:p>
        </w:tc>
        <w:tc>
          <w:tcPr>
            <w:tcW w:w="1001" w:type="dxa"/>
            <w:vAlign w:val="center"/>
          </w:tcPr>
          <w:p w:rsidR="00AE7AC1" w:rsidRPr="00A066AC" w:rsidRDefault="00AE7AC1" w:rsidP="00165AA4">
            <w:pPr>
              <w:spacing w:after="0" w:line="240" w:lineRule="auto"/>
              <w:jc w:val="center"/>
              <w:rPr>
                <w:rFonts w:ascii="Times New Roman" w:hAnsi="Times New Roman"/>
                <w:sz w:val="20"/>
                <w:szCs w:val="20"/>
              </w:rPr>
            </w:pPr>
            <w:r w:rsidRPr="00A066AC">
              <w:rPr>
                <w:rFonts w:ascii="Times New Roman" w:hAnsi="Times New Roman"/>
                <w:sz w:val="20"/>
                <w:szCs w:val="20"/>
              </w:rPr>
              <w:t>28,9±1,1</w:t>
            </w:r>
          </w:p>
        </w:tc>
        <w:tc>
          <w:tcPr>
            <w:tcW w:w="66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400</w:t>
            </w:r>
          </w:p>
        </w:tc>
        <w:tc>
          <w:tcPr>
            <w:tcW w:w="85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14,1</w:t>
            </w:r>
          </w:p>
        </w:tc>
        <w:tc>
          <w:tcPr>
            <w:tcW w:w="709"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0,4</w:t>
            </w:r>
          </w:p>
        </w:tc>
        <w:tc>
          <w:tcPr>
            <w:tcW w:w="708"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204</w:t>
            </w:r>
          </w:p>
        </w:tc>
        <w:tc>
          <w:tcPr>
            <w:tcW w:w="70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IV</w:t>
            </w:r>
          </w:p>
        </w:tc>
        <w:tc>
          <w:tcPr>
            <w:tcW w:w="1018" w:type="dxa"/>
            <w:gridSpan w:val="2"/>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60,1±1,7</w:t>
            </w:r>
          </w:p>
        </w:tc>
      </w:tr>
      <w:tr w:rsidR="00AE7AC1" w:rsidRPr="00AE7AC1" w:rsidTr="00165AA4">
        <w:trPr>
          <w:trHeight w:val="130"/>
          <w:jc w:val="center"/>
        </w:trPr>
        <w:tc>
          <w:tcPr>
            <w:tcW w:w="68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2-А</w:t>
            </w:r>
          </w:p>
        </w:tc>
        <w:tc>
          <w:tcPr>
            <w:tcW w:w="833"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8С2Б</w:t>
            </w:r>
          </w:p>
        </w:tc>
        <w:tc>
          <w:tcPr>
            <w:tcW w:w="55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С</w:t>
            </w:r>
            <w:proofErr w:type="gramStart"/>
            <w:r w:rsidRPr="00AE7AC1">
              <w:rPr>
                <w:rFonts w:ascii="Times New Roman" w:hAnsi="Times New Roman"/>
                <w:sz w:val="20"/>
                <w:szCs w:val="20"/>
                <w:vertAlign w:val="subscript"/>
              </w:rPr>
              <w:t>2</w:t>
            </w:r>
            <w:proofErr w:type="gramEnd"/>
          </w:p>
        </w:tc>
        <w:tc>
          <w:tcPr>
            <w:tcW w:w="67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120</w:t>
            </w:r>
          </w:p>
        </w:tc>
        <w:tc>
          <w:tcPr>
            <w:tcW w:w="1024" w:type="dxa"/>
            <w:vAlign w:val="center"/>
          </w:tcPr>
          <w:p w:rsidR="00AE7AC1" w:rsidRPr="00A066AC" w:rsidRDefault="00AE7AC1" w:rsidP="00165AA4">
            <w:pPr>
              <w:spacing w:after="0" w:line="240" w:lineRule="auto"/>
              <w:jc w:val="center"/>
              <w:rPr>
                <w:rFonts w:ascii="Times New Roman" w:hAnsi="Times New Roman"/>
                <w:sz w:val="20"/>
                <w:szCs w:val="20"/>
              </w:rPr>
            </w:pPr>
            <w:r w:rsidRPr="00A066AC">
              <w:rPr>
                <w:rFonts w:ascii="Times New Roman" w:hAnsi="Times New Roman"/>
                <w:sz w:val="20"/>
                <w:szCs w:val="20"/>
              </w:rPr>
              <w:t>16,8±0,3</w:t>
            </w:r>
          </w:p>
        </w:tc>
        <w:tc>
          <w:tcPr>
            <w:tcW w:w="1001" w:type="dxa"/>
            <w:vAlign w:val="center"/>
          </w:tcPr>
          <w:p w:rsidR="00AE7AC1" w:rsidRPr="00A066AC" w:rsidRDefault="00AE7AC1" w:rsidP="00165AA4">
            <w:pPr>
              <w:spacing w:after="0" w:line="240" w:lineRule="auto"/>
              <w:jc w:val="center"/>
              <w:rPr>
                <w:rFonts w:ascii="Times New Roman" w:hAnsi="Times New Roman"/>
                <w:sz w:val="20"/>
                <w:szCs w:val="20"/>
              </w:rPr>
            </w:pPr>
            <w:r w:rsidRPr="00A066AC">
              <w:rPr>
                <w:rFonts w:ascii="Times New Roman" w:hAnsi="Times New Roman"/>
                <w:sz w:val="20"/>
                <w:szCs w:val="20"/>
              </w:rPr>
              <w:t>35,1±1,7</w:t>
            </w:r>
          </w:p>
        </w:tc>
        <w:tc>
          <w:tcPr>
            <w:tcW w:w="66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139</w:t>
            </w:r>
          </w:p>
        </w:tc>
        <w:tc>
          <w:tcPr>
            <w:tcW w:w="85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15,3</w:t>
            </w:r>
          </w:p>
        </w:tc>
        <w:tc>
          <w:tcPr>
            <w:tcW w:w="709"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0,4</w:t>
            </w:r>
          </w:p>
        </w:tc>
        <w:tc>
          <w:tcPr>
            <w:tcW w:w="708"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119</w:t>
            </w:r>
          </w:p>
        </w:tc>
        <w:tc>
          <w:tcPr>
            <w:tcW w:w="70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V</w:t>
            </w:r>
          </w:p>
        </w:tc>
        <w:tc>
          <w:tcPr>
            <w:tcW w:w="1018" w:type="dxa"/>
            <w:gridSpan w:val="2"/>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67,4±0,8</w:t>
            </w:r>
          </w:p>
        </w:tc>
      </w:tr>
      <w:tr w:rsidR="00AE7AC1" w:rsidRPr="00AE7AC1" w:rsidTr="00165AA4">
        <w:trPr>
          <w:trHeight w:val="65"/>
          <w:jc w:val="center"/>
        </w:trPr>
        <w:tc>
          <w:tcPr>
            <w:tcW w:w="9431" w:type="dxa"/>
            <w:gridSpan w:val="13"/>
            <w:vAlign w:val="center"/>
          </w:tcPr>
          <w:p w:rsidR="00AE7AC1" w:rsidRPr="00A066AC" w:rsidRDefault="00A066AC" w:rsidP="00165AA4">
            <w:pPr>
              <w:spacing w:after="0" w:line="240" w:lineRule="auto"/>
              <w:jc w:val="center"/>
              <w:rPr>
                <w:rFonts w:ascii="Times New Roman" w:hAnsi="Times New Roman"/>
                <w:sz w:val="20"/>
                <w:szCs w:val="20"/>
              </w:rPr>
            </w:pPr>
            <w:r w:rsidRPr="00A066AC">
              <w:rPr>
                <w:rFonts w:ascii="Times New Roman" w:hAnsi="Times New Roman"/>
                <w:noProof/>
                <w:sz w:val="20"/>
                <w:szCs w:val="20"/>
                <w:lang w:val="en-US" w:eastAsia="ru-RU"/>
              </w:rPr>
              <w:t>MPI "Malo-Tyuktinskoe FE"</w:t>
            </w:r>
          </w:p>
        </w:tc>
      </w:tr>
      <w:tr w:rsidR="00AE7AC1" w:rsidRPr="00AE7AC1" w:rsidTr="00165AA4">
        <w:trPr>
          <w:trHeight w:val="269"/>
          <w:jc w:val="center"/>
        </w:trPr>
        <w:tc>
          <w:tcPr>
            <w:tcW w:w="68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7</w:t>
            </w:r>
          </w:p>
        </w:tc>
        <w:tc>
          <w:tcPr>
            <w:tcW w:w="833"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10С</w:t>
            </w:r>
          </w:p>
        </w:tc>
        <w:tc>
          <w:tcPr>
            <w:tcW w:w="555" w:type="dxa"/>
            <w:vAlign w:val="center"/>
          </w:tcPr>
          <w:p w:rsidR="00AE7AC1" w:rsidRPr="00AE7AC1" w:rsidRDefault="00AE7AC1" w:rsidP="00165AA4">
            <w:pPr>
              <w:spacing w:after="0" w:line="240" w:lineRule="auto"/>
              <w:jc w:val="center"/>
              <w:rPr>
                <w:rFonts w:ascii="Times New Roman" w:hAnsi="Times New Roman"/>
                <w:sz w:val="20"/>
                <w:szCs w:val="20"/>
                <w:vertAlign w:val="subscript"/>
              </w:rPr>
            </w:pPr>
            <w:r w:rsidRPr="00AE7AC1">
              <w:rPr>
                <w:rFonts w:ascii="Times New Roman" w:hAnsi="Times New Roman"/>
                <w:sz w:val="20"/>
                <w:szCs w:val="20"/>
              </w:rPr>
              <w:t>С</w:t>
            </w:r>
            <w:proofErr w:type="gramStart"/>
            <w:r w:rsidRPr="00AE7AC1">
              <w:rPr>
                <w:rFonts w:ascii="Times New Roman" w:hAnsi="Times New Roman"/>
                <w:sz w:val="20"/>
                <w:szCs w:val="20"/>
                <w:vertAlign w:val="subscript"/>
              </w:rPr>
              <w:t>2</w:t>
            </w:r>
            <w:proofErr w:type="gramEnd"/>
          </w:p>
        </w:tc>
        <w:tc>
          <w:tcPr>
            <w:tcW w:w="67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130</w:t>
            </w:r>
          </w:p>
        </w:tc>
        <w:tc>
          <w:tcPr>
            <w:tcW w:w="1024"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12,5±0,2</w:t>
            </w:r>
          </w:p>
        </w:tc>
        <w:tc>
          <w:tcPr>
            <w:tcW w:w="100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35,6±0,7</w:t>
            </w:r>
          </w:p>
        </w:tc>
        <w:tc>
          <w:tcPr>
            <w:tcW w:w="66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138</w:t>
            </w:r>
          </w:p>
        </w:tc>
        <w:tc>
          <w:tcPr>
            <w:tcW w:w="85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14,1</w:t>
            </w:r>
          </w:p>
        </w:tc>
        <w:tc>
          <w:tcPr>
            <w:tcW w:w="709"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0,4</w:t>
            </w:r>
          </w:p>
        </w:tc>
        <w:tc>
          <w:tcPr>
            <w:tcW w:w="708"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88</w:t>
            </w:r>
          </w:p>
        </w:tc>
        <w:tc>
          <w:tcPr>
            <w:tcW w:w="70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V</w:t>
            </w:r>
          </w:p>
        </w:tc>
        <w:tc>
          <w:tcPr>
            <w:tcW w:w="1018" w:type="dxa"/>
            <w:gridSpan w:val="2"/>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64,4±0,7</w:t>
            </w:r>
          </w:p>
        </w:tc>
      </w:tr>
      <w:tr w:rsidR="00AE7AC1" w:rsidRPr="00AE7AC1" w:rsidTr="00165AA4">
        <w:trPr>
          <w:trHeight w:val="202"/>
          <w:jc w:val="center"/>
        </w:trPr>
        <w:tc>
          <w:tcPr>
            <w:tcW w:w="68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У-8</w:t>
            </w:r>
          </w:p>
        </w:tc>
        <w:tc>
          <w:tcPr>
            <w:tcW w:w="833"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10С</w:t>
            </w:r>
          </w:p>
        </w:tc>
        <w:tc>
          <w:tcPr>
            <w:tcW w:w="555" w:type="dxa"/>
            <w:vAlign w:val="center"/>
          </w:tcPr>
          <w:p w:rsidR="00AE7AC1" w:rsidRPr="00AE7AC1" w:rsidRDefault="00AE7AC1" w:rsidP="00165AA4">
            <w:pPr>
              <w:spacing w:after="0" w:line="240" w:lineRule="auto"/>
              <w:jc w:val="center"/>
              <w:rPr>
                <w:rFonts w:ascii="Times New Roman" w:hAnsi="Times New Roman"/>
                <w:sz w:val="20"/>
                <w:szCs w:val="20"/>
                <w:vertAlign w:val="subscript"/>
              </w:rPr>
            </w:pPr>
            <w:r w:rsidRPr="00AE7AC1">
              <w:rPr>
                <w:rFonts w:ascii="Times New Roman" w:hAnsi="Times New Roman"/>
                <w:sz w:val="20"/>
                <w:szCs w:val="20"/>
              </w:rPr>
              <w:t>С</w:t>
            </w:r>
            <w:proofErr w:type="gramStart"/>
            <w:r w:rsidRPr="00AE7AC1">
              <w:rPr>
                <w:rFonts w:ascii="Times New Roman" w:hAnsi="Times New Roman"/>
                <w:sz w:val="20"/>
                <w:szCs w:val="20"/>
                <w:vertAlign w:val="subscript"/>
              </w:rPr>
              <w:t>2</w:t>
            </w:r>
            <w:proofErr w:type="gramEnd"/>
          </w:p>
        </w:tc>
        <w:tc>
          <w:tcPr>
            <w:tcW w:w="67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100</w:t>
            </w:r>
          </w:p>
        </w:tc>
        <w:tc>
          <w:tcPr>
            <w:tcW w:w="1024"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12,0±0,4</w:t>
            </w:r>
          </w:p>
        </w:tc>
        <w:tc>
          <w:tcPr>
            <w:tcW w:w="100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27,1±1,1</w:t>
            </w:r>
          </w:p>
        </w:tc>
        <w:tc>
          <w:tcPr>
            <w:tcW w:w="666"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31,0</w:t>
            </w:r>
          </w:p>
        </w:tc>
        <w:tc>
          <w:tcPr>
            <w:tcW w:w="851"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1,9</w:t>
            </w:r>
          </w:p>
        </w:tc>
        <w:tc>
          <w:tcPr>
            <w:tcW w:w="709"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0,1</w:t>
            </w:r>
          </w:p>
        </w:tc>
        <w:tc>
          <w:tcPr>
            <w:tcW w:w="708"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12</w:t>
            </w:r>
          </w:p>
        </w:tc>
        <w:tc>
          <w:tcPr>
            <w:tcW w:w="705" w:type="dxa"/>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V</w:t>
            </w:r>
          </w:p>
        </w:tc>
        <w:tc>
          <w:tcPr>
            <w:tcW w:w="1018" w:type="dxa"/>
            <w:gridSpan w:val="2"/>
            <w:vAlign w:val="center"/>
          </w:tcPr>
          <w:p w:rsidR="00AE7AC1" w:rsidRPr="00AE7AC1" w:rsidRDefault="00AE7AC1" w:rsidP="00165AA4">
            <w:pPr>
              <w:spacing w:after="0" w:line="240" w:lineRule="auto"/>
              <w:jc w:val="center"/>
              <w:rPr>
                <w:rFonts w:ascii="Times New Roman" w:hAnsi="Times New Roman"/>
                <w:sz w:val="20"/>
                <w:szCs w:val="20"/>
              </w:rPr>
            </w:pPr>
            <w:r w:rsidRPr="00AE7AC1">
              <w:rPr>
                <w:rFonts w:ascii="Times New Roman" w:hAnsi="Times New Roman"/>
                <w:sz w:val="20"/>
                <w:szCs w:val="20"/>
              </w:rPr>
              <w:t>60,5±0,9</w:t>
            </w:r>
          </w:p>
        </w:tc>
      </w:tr>
    </w:tbl>
    <w:p w:rsidR="00AE7AC1" w:rsidRDefault="00AE7AC1" w:rsidP="00141BED">
      <w:pPr>
        <w:spacing w:after="0" w:line="360" w:lineRule="auto"/>
        <w:jc w:val="both"/>
        <w:rPr>
          <w:rFonts w:ascii="Times New Roman" w:hAnsi="Times New Roman"/>
          <w:sz w:val="24"/>
          <w:szCs w:val="24"/>
        </w:rPr>
      </w:pPr>
    </w:p>
    <w:p w:rsidR="00297E06" w:rsidRPr="00141BED" w:rsidRDefault="00297E0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As a result of statistical processing of the obtained dendrograms, indexed generalized chronologies of residuals were obtained, which have a weak autocorrelation component or do not have it. Index values range from 0.2 to 2.0. As a result, in all the studied objects, the maxima and minima of the values of the indices of radial growth in certain years are distinguished, which are characterized by the influence of extreme climatic factors, in particular, temperature and precipitation.</w:t>
      </w:r>
      <w:r w:rsidR="00A820F1" w:rsidRPr="00141BED">
        <w:rPr>
          <w:rFonts w:ascii="Times New Roman" w:hAnsi="Times New Roman"/>
          <w:sz w:val="24"/>
          <w:szCs w:val="24"/>
          <w:lang w:val="en-US"/>
        </w:rPr>
        <w:t xml:space="preserve"> </w:t>
      </w:r>
      <w:r w:rsidRPr="00141BED">
        <w:rPr>
          <w:rFonts w:ascii="Times New Roman" w:hAnsi="Times New Roman"/>
          <w:sz w:val="24"/>
          <w:szCs w:val="24"/>
          <w:lang w:val="en-US"/>
        </w:rPr>
        <w:t xml:space="preserve">Thus, we can distinguish the periods 1900-1903, 1910-1913, 1935-1940, 1953-1954, 1974-1976, 1995-1996, etc. (figure </w:t>
      </w:r>
      <w:r w:rsidR="00A066AC" w:rsidRPr="00AB5692">
        <w:rPr>
          <w:rFonts w:ascii="Times New Roman" w:hAnsi="Times New Roman"/>
          <w:sz w:val="24"/>
          <w:szCs w:val="24"/>
          <w:lang w:val="en-US"/>
        </w:rPr>
        <w:t>1</w:t>
      </w:r>
      <w:r w:rsidRPr="00141BED">
        <w:rPr>
          <w:rFonts w:ascii="Times New Roman" w:hAnsi="Times New Roman"/>
          <w:sz w:val="24"/>
          <w:szCs w:val="24"/>
          <w:lang w:val="en-US"/>
        </w:rPr>
        <w:t>). These periods are characterized by the lowest index values, which is one of the proofs of extreme climatic factors: droughts, high temperatures during the growing season, etc.</w:t>
      </w:r>
    </w:p>
    <w:p w:rsidR="00297E06" w:rsidRPr="00141BED" w:rsidRDefault="00297E0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Thus, in the rows built on the annual rings of pine, cyclicity is revealed, most likely, due to variations in solar activity (11-year solar cycle).</w:t>
      </w:r>
    </w:p>
    <w:p w:rsidR="00297E06" w:rsidRPr="00141BED" w:rsidRDefault="00297E0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climate response of the residue chronologies and the stability of the climate-growth relationship were tested using a bootstrap analysis of a moving average with a 50-year window using Dendroclim2002. The analysis of the relationship between radial tree growth and temperature included data on the average monthly air temperature from August of the current year to September of the previous year.</w:t>
      </w:r>
    </w:p>
    <w:p w:rsidR="00297E06" w:rsidRPr="00141BED" w:rsidRDefault="00297E06" w:rsidP="00A066AC">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As a result of the analysis, close relationships between the width of the annual ring and the temperature of May-July on all objects, confirmed by the values of the correlation coefficient between the considered indicators</w:t>
      </w:r>
      <w:r w:rsidR="007B394C" w:rsidRPr="00141BED">
        <w:rPr>
          <w:rFonts w:ascii="Times New Roman" w:hAnsi="Times New Roman"/>
          <w:sz w:val="24"/>
          <w:szCs w:val="24"/>
          <w:lang w:val="en-US"/>
        </w:rPr>
        <w:t xml:space="preserve"> were obtained</w:t>
      </w:r>
      <w:r w:rsidRPr="00141BED">
        <w:rPr>
          <w:rFonts w:ascii="Times New Roman" w:hAnsi="Times New Roman"/>
          <w:sz w:val="24"/>
          <w:szCs w:val="24"/>
          <w:lang w:val="en-US"/>
        </w:rPr>
        <w:t>.</w:t>
      </w:r>
    </w:p>
    <w:p w:rsidR="00297E06" w:rsidRPr="00141BED" w:rsidRDefault="00297E06" w:rsidP="00141BED">
      <w:pPr>
        <w:spacing w:after="0" w:line="360" w:lineRule="auto"/>
        <w:jc w:val="center"/>
        <w:rPr>
          <w:rFonts w:ascii="Times New Roman" w:hAnsi="Times New Roman"/>
          <w:sz w:val="24"/>
          <w:szCs w:val="24"/>
          <w:lang w:val="en-US"/>
        </w:rPr>
      </w:pPr>
    </w:p>
    <w:p w:rsidR="00710DF4" w:rsidRPr="00141BED" w:rsidRDefault="00710DF4" w:rsidP="00141BED">
      <w:pPr>
        <w:spacing w:after="0" w:line="360" w:lineRule="auto"/>
        <w:jc w:val="center"/>
        <w:rPr>
          <w:rFonts w:ascii="Times New Roman" w:hAnsi="Times New Roman"/>
          <w:sz w:val="24"/>
          <w:szCs w:val="24"/>
        </w:rPr>
      </w:pPr>
      <w:r w:rsidRPr="00141BED">
        <w:rPr>
          <w:rFonts w:ascii="Times New Roman" w:hAnsi="Times New Roman"/>
          <w:noProof/>
          <w:sz w:val="24"/>
          <w:szCs w:val="24"/>
          <w:lang w:eastAsia="ru-RU"/>
        </w:rPr>
        <w:lastRenderedPageBreak/>
        <w:drawing>
          <wp:inline distT="0" distB="0" distL="0" distR="0" wp14:anchorId="31E53895" wp14:editId="41B8721D">
            <wp:extent cx="5939790" cy="2059305"/>
            <wp:effectExtent l="0" t="0" r="381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0DF4" w:rsidRPr="00141BED" w:rsidRDefault="00710DF4" w:rsidP="00141BED">
      <w:pPr>
        <w:spacing w:after="0" w:line="360" w:lineRule="auto"/>
        <w:jc w:val="center"/>
        <w:rPr>
          <w:rFonts w:ascii="Times New Roman" w:hAnsi="Times New Roman"/>
          <w:sz w:val="24"/>
          <w:szCs w:val="24"/>
        </w:rPr>
      </w:pPr>
      <w:r w:rsidRPr="00141BED">
        <w:rPr>
          <w:rFonts w:ascii="Times New Roman" w:hAnsi="Times New Roman"/>
          <w:sz w:val="24"/>
          <w:szCs w:val="24"/>
        </w:rPr>
        <w:t>а)</w:t>
      </w:r>
    </w:p>
    <w:p w:rsidR="00710DF4" w:rsidRPr="00141BED" w:rsidRDefault="00710DF4" w:rsidP="00141BED">
      <w:pPr>
        <w:spacing w:after="0" w:line="360" w:lineRule="auto"/>
        <w:jc w:val="both"/>
        <w:rPr>
          <w:rFonts w:ascii="Times New Roman" w:hAnsi="Times New Roman"/>
          <w:sz w:val="24"/>
          <w:szCs w:val="24"/>
        </w:rPr>
      </w:pPr>
      <w:r w:rsidRPr="00141BED">
        <w:rPr>
          <w:rFonts w:ascii="Times New Roman" w:hAnsi="Times New Roman"/>
          <w:noProof/>
          <w:sz w:val="24"/>
          <w:szCs w:val="24"/>
          <w:lang w:eastAsia="ru-RU"/>
        </w:rPr>
        <w:drawing>
          <wp:inline distT="0" distB="0" distL="0" distR="0" wp14:anchorId="5BFE8F09" wp14:editId="4FC23791">
            <wp:extent cx="5939790" cy="2133600"/>
            <wp:effectExtent l="0" t="0" r="381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0DF4" w:rsidRPr="00141BED" w:rsidRDefault="00710DF4" w:rsidP="00141BED">
      <w:pPr>
        <w:spacing w:after="0" w:line="360" w:lineRule="auto"/>
        <w:ind w:firstLine="567"/>
        <w:jc w:val="center"/>
        <w:rPr>
          <w:rFonts w:ascii="Times New Roman" w:hAnsi="Times New Roman"/>
          <w:sz w:val="24"/>
          <w:szCs w:val="24"/>
        </w:rPr>
      </w:pPr>
      <w:r w:rsidRPr="00141BED">
        <w:rPr>
          <w:rFonts w:ascii="Times New Roman" w:hAnsi="Times New Roman"/>
          <w:sz w:val="24"/>
          <w:szCs w:val="24"/>
        </w:rPr>
        <w:t>б)</w:t>
      </w:r>
    </w:p>
    <w:p w:rsidR="00710DF4" w:rsidRPr="00141BED" w:rsidRDefault="00710DF4" w:rsidP="00141BED">
      <w:pPr>
        <w:spacing w:after="0" w:line="360" w:lineRule="auto"/>
        <w:jc w:val="both"/>
        <w:rPr>
          <w:rFonts w:ascii="Times New Roman" w:hAnsi="Times New Roman"/>
          <w:noProof/>
          <w:sz w:val="24"/>
          <w:szCs w:val="24"/>
        </w:rPr>
      </w:pPr>
      <w:r w:rsidRPr="00141BED">
        <w:rPr>
          <w:rFonts w:ascii="Times New Roman" w:hAnsi="Times New Roman"/>
          <w:noProof/>
          <w:sz w:val="24"/>
          <w:szCs w:val="24"/>
          <w:lang w:eastAsia="ru-RU"/>
        </w:rPr>
        <w:drawing>
          <wp:inline distT="0" distB="0" distL="0" distR="0" wp14:anchorId="68DA93B5" wp14:editId="24618562">
            <wp:extent cx="5939790" cy="2051050"/>
            <wp:effectExtent l="0" t="0" r="3810" b="635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0DF4" w:rsidRPr="00907B5F" w:rsidRDefault="00710DF4" w:rsidP="00141BED">
      <w:pPr>
        <w:spacing w:after="0" w:line="360" w:lineRule="auto"/>
        <w:jc w:val="center"/>
        <w:rPr>
          <w:rFonts w:ascii="Times New Roman" w:hAnsi="Times New Roman"/>
          <w:sz w:val="24"/>
          <w:szCs w:val="24"/>
        </w:rPr>
      </w:pPr>
      <w:r w:rsidRPr="00141BED">
        <w:rPr>
          <w:rFonts w:ascii="Times New Roman" w:hAnsi="Times New Roman"/>
          <w:noProof/>
          <w:sz w:val="24"/>
          <w:szCs w:val="24"/>
        </w:rPr>
        <w:t>в</w:t>
      </w:r>
      <w:r w:rsidRPr="00907B5F">
        <w:rPr>
          <w:rFonts w:ascii="Times New Roman" w:hAnsi="Times New Roman"/>
          <w:noProof/>
          <w:sz w:val="24"/>
          <w:szCs w:val="24"/>
        </w:rPr>
        <w:t>)</w:t>
      </w:r>
    </w:p>
    <w:p w:rsidR="00710DF4" w:rsidRDefault="00B30FA0" w:rsidP="00141BED">
      <w:pPr>
        <w:spacing w:after="0" w:line="360" w:lineRule="auto"/>
        <w:jc w:val="center"/>
        <w:rPr>
          <w:rFonts w:ascii="Times New Roman" w:hAnsi="Times New Roman"/>
          <w:sz w:val="24"/>
          <w:szCs w:val="24"/>
        </w:rPr>
      </w:pPr>
      <w:r>
        <w:rPr>
          <w:rFonts w:ascii="Times New Roman" w:hAnsi="Times New Roman"/>
          <w:sz w:val="24"/>
          <w:szCs w:val="24"/>
        </w:rPr>
        <w:t>а</w:t>
      </w:r>
      <w:r w:rsidRPr="00907B5F">
        <w:rPr>
          <w:rFonts w:ascii="Times New Roman" w:hAnsi="Times New Roman"/>
          <w:sz w:val="24"/>
          <w:szCs w:val="24"/>
        </w:rPr>
        <w:t xml:space="preserve"> -  </w:t>
      </w:r>
      <w:r w:rsidRPr="00141BED">
        <w:rPr>
          <w:rFonts w:ascii="Times New Roman" w:hAnsi="Times New Roman"/>
          <w:noProof/>
          <w:sz w:val="24"/>
          <w:szCs w:val="24"/>
          <w:lang w:val="en-US" w:eastAsia="ru-RU"/>
        </w:rPr>
        <w:t>MPI</w:t>
      </w:r>
      <w:r w:rsidRPr="00907B5F">
        <w:rPr>
          <w:rFonts w:ascii="Times New Roman" w:hAnsi="Times New Roman"/>
          <w:noProof/>
          <w:sz w:val="24"/>
          <w:szCs w:val="24"/>
          <w:lang w:eastAsia="ru-RU"/>
        </w:rPr>
        <w:t xml:space="preserve"> "</w:t>
      </w:r>
      <w:r w:rsidRPr="00141BED">
        <w:rPr>
          <w:rFonts w:ascii="Times New Roman" w:hAnsi="Times New Roman"/>
          <w:noProof/>
          <w:sz w:val="24"/>
          <w:szCs w:val="24"/>
          <w:lang w:val="en-US" w:eastAsia="ru-RU"/>
        </w:rPr>
        <w:t>Malo</w:t>
      </w:r>
      <w:r w:rsidRPr="00907B5F">
        <w:rPr>
          <w:rFonts w:ascii="Times New Roman" w:hAnsi="Times New Roman"/>
          <w:noProof/>
          <w:sz w:val="24"/>
          <w:szCs w:val="24"/>
          <w:lang w:eastAsia="ru-RU"/>
        </w:rPr>
        <w:t>-</w:t>
      </w:r>
      <w:r w:rsidRPr="00141BED">
        <w:rPr>
          <w:rFonts w:ascii="Times New Roman" w:hAnsi="Times New Roman"/>
          <w:noProof/>
          <w:sz w:val="24"/>
          <w:szCs w:val="24"/>
          <w:lang w:val="en-US" w:eastAsia="ru-RU"/>
        </w:rPr>
        <w:t>Tyuktinskoe</w:t>
      </w:r>
      <w:r w:rsidRPr="00907B5F">
        <w:rPr>
          <w:rFonts w:ascii="Times New Roman" w:hAnsi="Times New Roman"/>
          <w:noProof/>
          <w:sz w:val="24"/>
          <w:szCs w:val="24"/>
          <w:lang w:eastAsia="ru-RU"/>
        </w:rPr>
        <w:t xml:space="preserve"> </w:t>
      </w:r>
      <w:r w:rsidRPr="00141BED">
        <w:rPr>
          <w:rFonts w:ascii="Times New Roman" w:hAnsi="Times New Roman"/>
          <w:noProof/>
          <w:sz w:val="24"/>
          <w:szCs w:val="24"/>
          <w:lang w:val="en-US" w:eastAsia="ru-RU"/>
        </w:rPr>
        <w:t>FE</w:t>
      </w:r>
      <w:r w:rsidRPr="00907B5F">
        <w:rPr>
          <w:rFonts w:ascii="Times New Roman" w:hAnsi="Times New Roman"/>
          <w:noProof/>
          <w:sz w:val="24"/>
          <w:szCs w:val="24"/>
          <w:lang w:eastAsia="ru-RU"/>
        </w:rPr>
        <w:t>"</w:t>
      </w:r>
      <w:r w:rsidRPr="00907B5F">
        <w:rPr>
          <w:rFonts w:ascii="Times New Roman" w:hAnsi="Times New Roman"/>
          <w:sz w:val="24"/>
          <w:szCs w:val="24"/>
        </w:rPr>
        <w:t xml:space="preserve">,  </w:t>
      </w:r>
      <w:r>
        <w:rPr>
          <w:rFonts w:ascii="Times New Roman" w:hAnsi="Times New Roman"/>
          <w:sz w:val="24"/>
          <w:szCs w:val="24"/>
          <w:lang w:val="en-US"/>
        </w:rPr>
        <w:t>b</w:t>
      </w:r>
      <w:r w:rsidRPr="00907B5F">
        <w:rPr>
          <w:rFonts w:ascii="Times New Roman" w:hAnsi="Times New Roman"/>
          <w:sz w:val="24"/>
          <w:szCs w:val="24"/>
        </w:rPr>
        <w:t xml:space="preserve"> - </w:t>
      </w:r>
      <w:r w:rsidRPr="00141BED">
        <w:rPr>
          <w:rFonts w:ascii="Times New Roman" w:hAnsi="Times New Roman"/>
          <w:noProof/>
          <w:sz w:val="24"/>
          <w:szCs w:val="24"/>
          <w:lang w:val="en-US" w:eastAsia="ru-RU"/>
        </w:rPr>
        <w:t>MPI</w:t>
      </w:r>
      <w:r w:rsidRPr="00907B5F">
        <w:rPr>
          <w:rFonts w:ascii="Times New Roman" w:hAnsi="Times New Roman"/>
          <w:noProof/>
          <w:sz w:val="24"/>
          <w:szCs w:val="24"/>
          <w:lang w:eastAsia="ru-RU"/>
        </w:rPr>
        <w:t xml:space="preserve"> "</w:t>
      </w:r>
      <w:r w:rsidRPr="00141BED">
        <w:rPr>
          <w:rFonts w:ascii="Times New Roman" w:hAnsi="Times New Roman"/>
          <w:noProof/>
          <w:sz w:val="24"/>
          <w:szCs w:val="24"/>
          <w:lang w:val="en-US" w:eastAsia="ru-RU"/>
        </w:rPr>
        <w:t>Urumkayskoye</w:t>
      </w:r>
      <w:r w:rsidRPr="00907B5F">
        <w:rPr>
          <w:rFonts w:ascii="Times New Roman" w:hAnsi="Times New Roman"/>
          <w:noProof/>
          <w:sz w:val="24"/>
          <w:szCs w:val="24"/>
          <w:lang w:eastAsia="ru-RU"/>
        </w:rPr>
        <w:t xml:space="preserve"> </w:t>
      </w:r>
      <w:r w:rsidRPr="00141BED">
        <w:rPr>
          <w:rFonts w:ascii="Times New Roman" w:hAnsi="Times New Roman"/>
          <w:noProof/>
          <w:sz w:val="24"/>
          <w:szCs w:val="24"/>
          <w:lang w:val="en-US" w:eastAsia="ru-RU"/>
        </w:rPr>
        <w:t>FE</w:t>
      </w:r>
      <w:r w:rsidRPr="00907B5F">
        <w:rPr>
          <w:rFonts w:ascii="Times New Roman" w:hAnsi="Times New Roman"/>
          <w:noProof/>
          <w:sz w:val="24"/>
          <w:szCs w:val="24"/>
          <w:lang w:eastAsia="ru-RU"/>
        </w:rPr>
        <w:t>"</w:t>
      </w:r>
      <w:r w:rsidRPr="00907B5F">
        <w:rPr>
          <w:rFonts w:ascii="Times New Roman" w:hAnsi="Times New Roman"/>
          <w:sz w:val="24"/>
          <w:szCs w:val="24"/>
        </w:rPr>
        <w:t xml:space="preserve">, </w:t>
      </w:r>
      <w:r w:rsidRPr="00141BED">
        <w:rPr>
          <w:rFonts w:ascii="Times New Roman" w:hAnsi="Times New Roman"/>
          <w:sz w:val="24"/>
          <w:szCs w:val="24"/>
          <w:lang w:val="en-US"/>
        </w:rPr>
        <w:t>v</w:t>
      </w:r>
      <w:r w:rsidRPr="00907B5F">
        <w:rPr>
          <w:rFonts w:ascii="Times New Roman" w:hAnsi="Times New Roman"/>
          <w:sz w:val="24"/>
          <w:szCs w:val="24"/>
        </w:rPr>
        <w:t xml:space="preserve"> - </w:t>
      </w:r>
      <w:r w:rsidRPr="00141BED">
        <w:rPr>
          <w:rFonts w:ascii="Times New Roman" w:hAnsi="Times New Roman"/>
          <w:sz w:val="24"/>
          <w:szCs w:val="24"/>
          <w:lang w:val="en-US"/>
        </w:rPr>
        <w:t>SFNR</w:t>
      </w:r>
      <w:r w:rsidRPr="00907B5F">
        <w:rPr>
          <w:rFonts w:ascii="Times New Roman" w:hAnsi="Times New Roman"/>
          <w:sz w:val="24"/>
          <w:szCs w:val="24"/>
        </w:rPr>
        <w:t xml:space="preserve"> "</w:t>
      </w:r>
      <w:r w:rsidRPr="00141BED">
        <w:rPr>
          <w:rFonts w:ascii="Times New Roman" w:hAnsi="Times New Roman"/>
          <w:sz w:val="24"/>
          <w:szCs w:val="24"/>
          <w:lang w:val="en-US"/>
        </w:rPr>
        <w:t>Semey</w:t>
      </w:r>
      <w:r w:rsidRPr="00907B5F">
        <w:rPr>
          <w:rFonts w:ascii="Times New Roman" w:hAnsi="Times New Roman"/>
          <w:sz w:val="24"/>
          <w:szCs w:val="24"/>
        </w:rPr>
        <w:t xml:space="preserve"> </w:t>
      </w:r>
      <w:r w:rsidRPr="00141BED">
        <w:rPr>
          <w:rFonts w:ascii="Times New Roman" w:hAnsi="Times New Roman"/>
          <w:sz w:val="24"/>
          <w:szCs w:val="24"/>
          <w:lang w:val="en-US"/>
        </w:rPr>
        <w:t>ormany</w:t>
      </w:r>
      <w:r w:rsidRPr="00907B5F">
        <w:rPr>
          <w:rFonts w:ascii="Times New Roman" w:hAnsi="Times New Roman"/>
          <w:sz w:val="24"/>
          <w:szCs w:val="24"/>
        </w:rPr>
        <w:t xml:space="preserve">" </w:t>
      </w:r>
    </w:p>
    <w:p w:rsidR="00B30FA0" w:rsidRPr="00B30FA0" w:rsidRDefault="00B30FA0" w:rsidP="00141BED">
      <w:pPr>
        <w:spacing w:after="0" w:line="360" w:lineRule="auto"/>
        <w:jc w:val="center"/>
        <w:rPr>
          <w:rFonts w:ascii="Times New Roman" w:hAnsi="Times New Roman"/>
          <w:sz w:val="24"/>
          <w:szCs w:val="24"/>
        </w:rPr>
      </w:pPr>
    </w:p>
    <w:p w:rsidR="00A820F1" w:rsidRPr="00141BED" w:rsidRDefault="00297E06"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 xml:space="preserve">Figure </w:t>
      </w:r>
      <w:r w:rsidR="00A066AC" w:rsidRPr="00A066AC">
        <w:rPr>
          <w:rFonts w:ascii="Times New Roman" w:hAnsi="Times New Roman"/>
          <w:sz w:val="24"/>
          <w:szCs w:val="24"/>
          <w:lang w:val="en-US"/>
        </w:rPr>
        <w:t>1</w:t>
      </w:r>
      <w:r w:rsidRPr="00141BED">
        <w:rPr>
          <w:rFonts w:ascii="Times New Roman" w:hAnsi="Times New Roman"/>
          <w:sz w:val="24"/>
          <w:szCs w:val="24"/>
          <w:lang w:val="en-US"/>
        </w:rPr>
        <w:t xml:space="preserve"> </w:t>
      </w:r>
      <w:r w:rsidR="001C4554" w:rsidRPr="00141BED">
        <w:rPr>
          <w:rFonts w:ascii="Times New Roman" w:hAnsi="Times New Roman"/>
          <w:sz w:val="24"/>
          <w:szCs w:val="24"/>
          <w:lang w:val="en-US"/>
        </w:rPr>
        <w:t xml:space="preserve">– Indexed </w:t>
      </w:r>
      <w:r w:rsidRPr="00141BED">
        <w:rPr>
          <w:rFonts w:ascii="Times New Roman" w:hAnsi="Times New Roman"/>
          <w:sz w:val="24"/>
          <w:szCs w:val="24"/>
          <w:lang w:val="en-US"/>
        </w:rPr>
        <w:t xml:space="preserve">tree-ring chronology of pine </w:t>
      </w:r>
    </w:p>
    <w:p w:rsidR="00297E06" w:rsidRPr="00907B5F" w:rsidRDefault="00297E06" w:rsidP="00141BED">
      <w:pPr>
        <w:spacing w:after="0" w:line="360" w:lineRule="auto"/>
        <w:jc w:val="center"/>
        <w:rPr>
          <w:rFonts w:ascii="Times New Roman" w:hAnsi="Times New Roman"/>
          <w:sz w:val="24"/>
          <w:szCs w:val="24"/>
          <w:lang w:val="en-US"/>
        </w:rPr>
      </w:pPr>
    </w:p>
    <w:p w:rsidR="00A820F1" w:rsidRPr="00141BED" w:rsidRDefault="00297E0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lastRenderedPageBreak/>
        <w:t>The obtained relationships between the annual growth of pine trees in the studied objects and the climate variables of May, June, and July are stable over time. The effect of precipitation in May, June, and July is unstable and not significant except in some cases.</w:t>
      </w:r>
    </w:p>
    <w:p w:rsidR="00A820F1" w:rsidRPr="00141BED" w:rsidRDefault="00297E0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Despite the obtained general regularities of the relationship of climatic factors (temperature and precipitation) with the tree-ring chronologies of pine in the studied areas, there are some differences in specific cases. Thus, in the conditions of Northern Kazakhstan, the </w:t>
      </w:r>
      <w:r w:rsidR="00814781" w:rsidRPr="00141BED">
        <w:rPr>
          <w:rFonts w:ascii="Times New Roman" w:hAnsi="Times New Roman"/>
          <w:noProof/>
          <w:sz w:val="24"/>
          <w:szCs w:val="24"/>
          <w:lang w:val="en-US" w:eastAsia="ru-RU"/>
        </w:rPr>
        <w:t>MPI "Malo-Tyuktinskoe FE"</w:t>
      </w:r>
      <w:r w:rsidR="00814781" w:rsidRPr="00141BED">
        <w:rPr>
          <w:rFonts w:ascii="Times New Roman" w:hAnsi="Times New Roman"/>
          <w:sz w:val="24"/>
          <w:szCs w:val="24"/>
          <w:lang w:val="en-US"/>
        </w:rPr>
        <w:t xml:space="preserve"> </w:t>
      </w:r>
      <w:r w:rsidR="00A066AC">
        <w:rPr>
          <w:rFonts w:ascii="Times New Roman" w:hAnsi="Times New Roman"/>
          <w:sz w:val="24"/>
          <w:szCs w:val="24"/>
          <w:lang w:val="en-US"/>
        </w:rPr>
        <w:t xml:space="preserve">(figure </w:t>
      </w:r>
      <w:r w:rsidR="00A066AC" w:rsidRPr="00A066AC">
        <w:rPr>
          <w:rFonts w:ascii="Times New Roman" w:hAnsi="Times New Roman"/>
          <w:sz w:val="24"/>
          <w:szCs w:val="24"/>
          <w:lang w:val="en-US"/>
        </w:rPr>
        <w:t>2</w:t>
      </w:r>
      <w:r w:rsidRPr="00141BED">
        <w:rPr>
          <w:rFonts w:ascii="Times New Roman" w:hAnsi="Times New Roman"/>
          <w:sz w:val="24"/>
          <w:szCs w:val="24"/>
          <w:lang w:val="en-US"/>
        </w:rPr>
        <w:t xml:space="preserve">) shows a close relationship of annual growth with the temperature of May and June, while in the </w:t>
      </w:r>
      <w:r w:rsidRPr="00141BED">
        <w:rPr>
          <w:rFonts w:ascii="Times New Roman" w:hAnsi="Times New Roman"/>
          <w:noProof/>
          <w:sz w:val="24"/>
          <w:szCs w:val="24"/>
          <w:lang w:val="en-US" w:eastAsia="ru-RU"/>
        </w:rPr>
        <w:t>MPI "Urumkayskoye FE"</w:t>
      </w:r>
      <w:r w:rsidRPr="00141BED">
        <w:rPr>
          <w:rFonts w:ascii="Times New Roman" w:hAnsi="Times New Roman"/>
          <w:sz w:val="24"/>
          <w:szCs w:val="24"/>
          <w:lang w:val="en-US"/>
        </w:rPr>
        <w:t xml:space="preserve"> (figure </w:t>
      </w:r>
      <w:r w:rsidR="00A066AC" w:rsidRPr="00A066AC">
        <w:rPr>
          <w:rFonts w:ascii="Times New Roman" w:hAnsi="Times New Roman"/>
          <w:sz w:val="24"/>
          <w:szCs w:val="24"/>
          <w:lang w:val="en-US"/>
        </w:rPr>
        <w:t>3</w:t>
      </w:r>
      <w:r w:rsidRPr="00141BED">
        <w:rPr>
          <w:rFonts w:ascii="Times New Roman" w:hAnsi="Times New Roman"/>
          <w:sz w:val="24"/>
          <w:szCs w:val="24"/>
          <w:lang w:val="en-US"/>
        </w:rPr>
        <w:t>), the relationship of annual growth of pine is established with the temperatures of May, June and July.</w:t>
      </w:r>
    </w:p>
    <w:p w:rsidR="00A820F1" w:rsidRPr="00141BED" w:rsidRDefault="00F57D1F" w:rsidP="00141BED">
      <w:pPr>
        <w:spacing w:after="0" w:line="360" w:lineRule="auto"/>
        <w:jc w:val="center"/>
        <w:rPr>
          <w:rFonts w:ascii="Times New Roman" w:hAnsi="Times New Roman"/>
          <w:sz w:val="24"/>
          <w:szCs w:val="24"/>
        </w:rPr>
      </w:pPr>
      <w:r w:rsidRPr="00141BED">
        <w:rPr>
          <w:rFonts w:ascii="Times New Roman" w:hAnsi="Times New Roman"/>
          <w:noProof/>
          <w:sz w:val="24"/>
          <w:szCs w:val="24"/>
          <w:lang w:eastAsia="ru-RU"/>
        </w:rPr>
        <w:drawing>
          <wp:inline distT="0" distB="0" distL="0" distR="0" wp14:anchorId="4C46D964" wp14:editId="550EB488">
            <wp:extent cx="6120130" cy="1782215"/>
            <wp:effectExtent l="0" t="0" r="0" b="889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7D1F" w:rsidRPr="00141BED" w:rsidRDefault="00F57D1F" w:rsidP="00141BED">
      <w:pPr>
        <w:spacing w:after="0" w:line="360" w:lineRule="auto"/>
        <w:jc w:val="center"/>
        <w:rPr>
          <w:rFonts w:ascii="Times New Roman" w:hAnsi="Times New Roman"/>
          <w:sz w:val="24"/>
          <w:szCs w:val="24"/>
        </w:rPr>
      </w:pPr>
    </w:p>
    <w:p w:rsidR="00CA1282" w:rsidRPr="00141BED" w:rsidRDefault="00CA1282" w:rsidP="00A066AC">
      <w:pPr>
        <w:spacing w:after="0" w:line="360" w:lineRule="auto"/>
        <w:ind w:firstLine="567"/>
        <w:jc w:val="center"/>
        <w:rPr>
          <w:rFonts w:ascii="Times New Roman" w:hAnsi="Times New Roman"/>
          <w:sz w:val="24"/>
          <w:szCs w:val="24"/>
          <w:lang w:val="en-US"/>
        </w:rPr>
      </w:pPr>
      <w:r w:rsidRPr="00141BED">
        <w:rPr>
          <w:rFonts w:ascii="Times New Roman" w:hAnsi="Times New Roman"/>
          <w:sz w:val="24"/>
          <w:szCs w:val="24"/>
          <w:lang w:val="en-US"/>
        </w:rPr>
        <w:t xml:space="preserve">Figure </w:t>
      </w:r>
      <w:r w:rsidR="00A066AC" w:rsidRPr="00A066AC">
        <w:rPr>
          <w:rFonts w:ascii="Times New Roman" w:hAnsi="Times New Roman"/>
          <w:sz w:val="24"/>
          <w:szCs w:val="24"/>
          <w:lang w:val="en-US"/>
        </w:rPr>
        <w:t>2</w:t>
      </w:r>
      <w:r w:rsidRPr="00141BED">
        <w:rPr>
          <w:rFonts w:ascii="Times New Roman" w:hAnsi="Times New Roman"/>
          <w:sz w:val="24"/>
          <w:szCs w:val="24"/>
          <w:lang w:val="en-US"/>
        </w:rPr>
        <w:t xml:space="preserve"> – </w:t>
      </w:r>
      <w:r w:rsidR="00904FE5" w:rsidRPr="00141BED">
        <w:rPr>
          <w:rFonts w:ascii="Times New Roman" w:hAnsi="Times New Roman"/>
          <w:sz w:val="24"/>
          <w:szCs w:val="24"/>
          <w:lang w:val="en-US"/>
        </w:rPr>
        <w:t>C</w:t>
      </w:r>
      <w:r w:rsidRPr="00141BED">
        <w:rPr>
          <w:rFonts w:ascii="Times New Roman" w:hAnsi="Times New Roman"/>
          <w:sz w:val="24"/>
          <w:szCs w:val="24"/>
          <w:lang w:val="en-US"/>
        </w:rPr>
        <w:t xml:space="preserve">orrelation coefficients between the indexed pine chronology and temperature in the </w:t>
      </w:r>
      <w:r w:rsidRPr="00141BED">
        <w:rPr>
          <w:rFonts w:ascii="Times New Roman" w:hAnsi="Times New Roman"/>
          <w:noProof/>
          <w:sz w:val="24"/>
          <w:szCs w:val="24"/>
          <w:lang w:val="en-US" w:eastAsia="ru-RU"/>
        </w:rPr>
        <w:t>MPI "Malo-Tyuktinskoe FE"</w:t>
      </w:r>
    </w:p>
    <w:p w:rsidR="00CA1282" w:rsidRPr="00141BED" w:rsidRDefault="00CA1282" w:rsidP="00141BED">
      <w:pPr>
        <w:spacing w:after="0" w:line="360" w:lineRule="auto"/>
        <w:ind w:firstLine="567"/>
        <w:jc w:val="both"/>
        <w:rPr>
          <w:rFonts w:ascii="Times New Roman" w:hAnsi="Times New Roman"/>
          <w:sz w:val="24"/>
          <w:szCs w:val="24"/>
          <w:lang w:val="en-US"/>
        </w:rPr>
      </w:pPr>
    </w:p>
    <w:p w:rsidR="00F57D1F" w:rsidRPr="00141BED" w:rsidRDefault="00F57D1F" w:rsidP="00141BED">
      <w:pPr>
        <w:spacing w:after="0" w:line="360" w:lineRule="auto"/>
        <w:jc w:val="both"/>
        <w:rPr>
          <w:rFonts w:ascii="Times New Roman" w:hAnsi="Times New Roman"/>
          <w:sz w:val="24"/>
          <w:szCs w:val="24"/>
        </w:rPr>
      </w:pPr>
      <w:r w:rsidRPr="00141BED">
        <w:rPr>
          <w:rFonts w:ascii="Times New Roman" w:hAnsi="Times New Roman"/>
          <w:noProof/>
          <w:sz w:val="24"/>
          <w:szCs w:val="24"/>
          <w:lang w:eastAsia="ru-RU"/>
        </w:rPr>
        <w:drawing>
          <wp:inline distT="0" distB="0" distL="0" distR="0" wp14:anchorId="3030B221" wp14:editId="572E64F8">
            <wp:extent cx="5939790" cy="227393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1282" w:rsidRPr="00141BED" w:rsidRDefault="00CA1282" w:rsidP="00141BED">
      <w:pPr>
        <w:spacing w:after="0" w:line="360" w:lineRule="auto"/>
        <w:ind w:firstLine="567"/>
        <w:jc w:val="both"/>
        <w:rPr>
          <w:rFonts w:ascii="Times New Roman" w:hAnsi="Times New Roman"/>
          <w:sz w:val="24"/>
          <w:szCs w:val="24"/>
          <w:lang w:val="en-US"/>
        </w:rPr>
      </w:pPr>
    </w:p>
    <w:p w:rsidR="00CA1282" w:rsidRPr="00141BED" w:rsidRDefault="00CA1282" w:rsidP="00A066AC">
      <w:pPr>
        <w:spacing w:after="0" w:line="360" w:lineRule="auto"/>
        <w:ind w:firstLine="567"/>
        <w:jc w:val="center"/>
        <w:rPr>
          <w:rFonts w:ascii="Times New Roman" w:hAnsi="Times New Roman"/>
          <w:noProof/>
          <w:sz w:val="24"/>
          <w:szCs w:val="24"/>
          <w:lang w:val="en-US" w:eastAsia="ru-RU"/>
        </w:rPr>
      </w:pPr>
      <w:r w:rsidRPr="00141BED">
        <w:rPr>
          <w:rFonts w:ascii="Times New Roman" w:hAnsi="Times New Roman"/>
          <w:sz w:val="24"/>
          <w:szCs w:val="24"/>
          <w:lang w:val="en-US"/>
        </w:rPr>
        <w:t xml:space="preserve">Figure </w:t>
      </w:r>
      <w:r w:rsidR="00A066AC" w:rsidRPr="00A066AC">
        <w:rPr>
          <w:rFonts w:ascii="Times New Roman" w:hAnsi="Times New Roman"/>
          <w:sz w:val="24"/>
          <w:szCs w:val="24"/>
          <w:lang w:val="en-US"/>
        </w:rPr>
        <w:t>3</w:t>
      </w:r>
      <w:r w:rsidRPr="00141BED">
        <w:rPr>
          <w:rFonts w:ascii="Times New Roman" w:hAnsi="Times New Roman"/>
          <w:sz w:val="24"/>
          <w:szCs w:val="24"/>
          <w:lang w:val="en-US"/>
        </w:rPr>
        <w:t xml:space="preserve"> – </w:t>
      </w:r>
      <w:r w:rsidR="00904FE5" w:rsidRPr="00141BED">
        <w:rPr>
          <w:rFonts w:ascii="Times New Roman" w:hAnsi="Times New Roman"/>
          <w:sz w:val="24"/>
          <w:szCs w:val="24"/>
          <w:lang w:val="en-US"/>
        </w:rPr>
        <w:t>C</w:t>
      </w:r>
      <w:r w:rsidRPr="00141BED">
        <w:rPr>
          <w:rFonts w:ascii="Times New Roman" w:hAnsi="Times New Roman"/>
          <w:sz w:val="24"/>
          <w:szCs w:val="24"/>
          <w:lang w:val="en-US"/>
        </w:rPr>
        <w:t xml:space="preserve">orrelation coefficients between the indexed pine chronology and the temperature in the </w:t>
      </w:r>
      <w:r w:rsidRPr="00141BED">
        <w:rPr>
          <w:rFonts w:ascii="Times New Roman" w:hAnsi="Times New Roman"/>
          <w:noProof/>
          <w:sz w:val="24"/>
          <w:szCs w:val="24"/>
          <w:lang w:val="en-US" w:eastAsia="ru-RU"/>
        </w:rPr>
        <w:t>MPI "Urumkayskoye FE"</w:t>
      </w:r>
    </w:p>
    <w:p w:rsidR="00F57D1F" w:rsidRPr="00141BED" w:rsidRDefault="00F57D1F" w:rsidP="00141BED">
      <w:pPr>
        <w:spacing w:after="0" w:line="360" w:lineRule="auto"/>
        <w:ind w:firstLine="567"/>
        <w:jc w:val="both"/>
        <w:rPr>
          <w:rFonts w:ascii="Times New Roman" w:hAnsi="Times New Roman"/>
          <w:sz w:val="24"/>
          <w:szCs w:val="24"/>
          <w:lang w:val="en-US"/>
        </w:rPr>
      </w:pPr>
    </w:p>
    <w:p w:rsidR="00A820F1" w:rsidRPr="00AB5692" w:rsidRDefault="00CA1282" w:rsidP="00141BED">
      <w:pPr>
        <w:spacing w:after="0" w:line="360" w:lineRule="auto"/>
        <w:ind w:firstLine="567"/>
        <w:jc w:val="both"/>
        <w:rPr>
          <w:rFonts w:ascii="Times New Roman" w:hAnsi="Times New Roman"/>
          <w:sz w:val="24"/>
          <w:szCs w:val="24"/>
          <w:lang w:val="en-US"/>
        </w:rPr>
      </w:pPr>
      <w:proofErr w:type="gramStart"/>
      <w:r w:rsidRPr="00141BED">
        <w:rPr>
          <w:rFonts w:ascii="Times New Roman" w:hAnsi="Times New Roman"/>
          <w:sz w:val="24"/>
          <w:szCs w:val="24"/>
          <w:lang w:val="en-US"/>
        </w:rPr>
        <w:lastRenderedPageBreak/>
        <w:t xml:space="preserve">In the conditions of East Kazakhstan (SFNR "Semey ormany") (figure </w:t>
      </w:r>
      <w:r w:rsidR="00904FE5" w:rsidRPr="00904FE5">
        <w:rPr>
          <w:rFonts w:ascii="Times New Roman" w:hAnsi="Times New Roman"/>
          <w:sz w:val="24"/>
          <w:szCs w:val="24"/>
          <w:lang w:val="en-US"/>
        </w:rPr>
        <w:t>4</w:t>
      </w:r>
      <w:r w:rsidRPr="00141BED">
        <w:rPr>
          <w:rFonts w:ascii="Times New Roman" w:hAnsi="Times New Roman"/>
          <w:sz w:val="24"/>
          <w:szCs w:val="24"/>
          <w:lang w:val="en-US"/>
        </w:rPr>
        <w:t>) the highest correlation between the annual growth of pine is observed with the temperature of May and July.</w:t>
      </w:r>
      <w:proofErr w:type="gramEnd"/>
      <w:r w:rsidR="00A820F1" w:rsidRPr="00141BED">
        <w:rPr>
          <w:rFonts w:ascii="Times New Roman" w:hAnsi="Times New Roman"/>
          <w:sz w:val="24"/>
          <w:szCs w:val="24"/>
          <w:lang w:val="en-US"/>
        </w:rPr>
        <w:t xml:space="preserve"> </w:t>
      </w:r>
    </w:p>
    <w:p w:rsidR="007C0BDC" w:rsidRPr="00AB5692" w:rsidRDefault="007C0BDC" w:rsidP="00141BED">
      <w:pPr>
        <w:spacing w:after="0" w:line="360" w:lineRule="auto"/>
        <w:ind w:firstLine="567"/>
        <w:jc w:val="both"/>
        <w:rPr>
          <w:rFonts w:ascii="Times New Roman" w:hAnsi="Times New Roman"/>
          <w:sz w:val="24"/>
          <w:szCs w:val="24"/>
          <w:lang w:val="en-US"/>
        </w:rPr>
      </w:pPr>
    </w:p>
    <w:p w:rsidR="00A820F1" w:rsidRPr="00141BED" w:rsidRDefault="00F57D1F" w:rsidP="00141BED">
      <w:pPr>
        <w:spacing w:after="0" w:line="360" w:lineRule="auto"/>
        <w:jc w:val="center"/>
        <w:rPr>
          <w:rFonts w:ascii="Times New Roman" w:hAnsi="Times New Roman"/>
          <w:sz w:val="24"/>
          <w:szCs w:val="24"/>
          <w:lang w:val="en-US"/>
        </w:rPr>
      </w:pPr>
      <w:r w:rsidRPr="00141BED">
        <w:rPr>
          <w:rFonts w:ascii="Times New Roman" w:hAnsi="Times New Roman"/>
          <w:noProof/>
          <w:sz w:val="24"/>
          <w:szCs w:val="24"/>
          <w:lang w:eastAsia="ru-RU"/>
        </w:rPr>
        <w:drawing>
          <wp:inline distT="0" distB="0" distL="0" distR="0" wp14:anchorId="29E454CA" wp14:editId="379582EE">
            <wp:extent cx="5947410" cy="212534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4FE5" w:rsidRDefault="00904FE5" w:rsidP="00141BED">
      <w:pPr>
        <w:spacing w:after="0" w:line="360" w:lineRule="auto"/>
        <w:ind w:firstLine="567"/>
        <w:jc w:val="center"/>
        <w:rPr>
          <w:rFonts w:ascii="Times New Roman" w:hAnsi="Times New Roman"/>
          <w:sz w:val="24"/>
          <w:szCs w:val="24"/>
        </w:rPr>
      </w:pPr>
    </w:p>
    <w:p w:rsidR="0000557E" w:rsidRPr="00141BED" w:rsidRDefault="0000557E" w:rsidP="00141BED">
      <w:pPr>
        <w:spacing w:after="0" w:line="360" w:lineRule="auto"/>
        <w:ind w:firstLine="567"/>
        <w:jc w:val="center"/>
        <w:rPr>
          <w:rFonts w:ascii="Times New Roman" w:hAnsi="Times New Roman"/>
          <w:sz w:val="24"/>
          <w:szCs w:val="24"/>
          <w:lang w:val="en-US"/>
        </w:rPr>
      </w:pPr>
      <w:r w:rsidRPr="00141BED">
        <w:rPr>
          <w:rFonts w:ascii="Times New Roman" w:hAnsi="Times New Roman"/>
          <w:sz w:val="24"/>
          <w:szCs w:val="24"/>
          <w:lang w:val="en-US"/>
        </w:rPr>
        <w:t xml:space="preserve">Figure </w:t>
      </w:r>
      <w:r w:rsidR="00904FE5" w:rsidRPr="00904FE5">
        <w:rPr>
          <w:rFonts w:ascii="Times New Roman" w:hAnsi="Times New Roman"/>
          <w:sz w:val="24"/>
          <w:szCs w:val="24"/>
          <w:lang w:val="en-US"/>
        </w:rPr>
        <w:t>4</w:t>
      </w:r>
      <w:r w:rsidRPr="00141BED">
        <w:rPr>
          <w:rFonts w:ascii="Times New Roman" w:hAnsi="Times New Roman"/>
          <w:sz w:val="24"/>
          <w:szCs w:val="24"/>
          <w:lang w:val="en-US"/>
        </w:rPr>
        <w:t xml:space="preserve"> – </w:t>
      </w:r>
      <w:r w:rsidR="00904FE5" w:rsidRPr="00141BED">
        <w:rPr>
          <w:rFonts w:ascii="Times New Roman" w:hAnsi="Times New Roman"/>
          <w:sz w:val="24"/>
          <w:szCs w:val="24"/>
          <w:lang w:val="en-US"/>
        </w:rPr>
        <w:t>C</w:t>
      </w:r>
      <w:r w:rsidRPr="00141BED">
        <w:rPr>
          <w:rFonts w:ascii="Times New Roman" w:hAnsi="Times New Roman"/>
          <w:sz w:val="24"/>
          <w:szCs w:val="24"/>
          <w:lang w:val="en-US"/>
        </w:rPr>
        <w:t>orrelation coefficients between the indexed pine chronology and the temperature in the SFNR "Semey ormany"</w:t>
      </w:r>
    </w:p>
    <w:p w:rsidR="0000557E" w:rsidRPr="00141BED" w:rsidRDefault="0000557E" w:rsidP="00141BED">
      <w:pPr>
        <w:spacing w:after="0" w:line="360" w:lineRule="auto"/>
        <w:ind w:firstLine="567"/>
        <w:jc w:val="center"/>
        <w:rPr>
          <w:rFonts w:ascii="Times New Roman" w:hAnsi="Times New Roman"/>
          <w:sz w:val="24"/>
          <w:szCs w:val="24"/>
          <w:lang w:val="en-US"/>
        </w:rPr>
      </w:pPr>
    </w:p>
    <w:p w:rsidR="009C1ED1" w:rsidRPr="00141BED" w:rsidRDefault="009C1ED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interrelation of the annual increase in diameter with precipitation in June is observed in the conditions of Northern Kazakhstan (</w:t>
      </w:r>
      <w:r w:rsidRPr="00141BED">
        <w:rPr>
          <w:rFonts w:ascii="Times New Roman" w:hAnsi="Times New Roman"/>
          <w:noProof/>
          <w:sz w:val="24"/>
          <w:szCs w:val="24"/>
          <w:lang w:val="en-US" w:eastAsia="ru-RU"/>
        </w:rPr>
        <w:t xml:space="preserve">MPI "Malo-Tyuktinskoe FE" </w:t>
      </w:r>
      <w:r w:rsidRPr="00141BED">
        <w:rPr>
          <w:rFonts w:ascii="Times New Roman" w:hAnsi="Times New Roman"/>
          <w:sz w:val="24"/>
          <w:szCs w:val="24"/>
          <w:lang w:val="en-US"/>
        </w:rPr>
        <w:t xml:space="preserve">and </w:t>
      </w:r>
      <w:r w:rsidRPr="00141BED">
        <w:rPr>
          <w:rFonts w:ascii="Times New Roman" w:hAnsi="Times New Roman"/>
          <w:noProof/>
          <w:sz w:val="24"/>
          <w:szCs w:val="24"/>
          <w:lang w:val="en-US" w:eastAsia="ru-RU"/>
        </w:rPr>
        <w:t>MPI "Urumkayskoye FE"</w:t>
      </w:r>
      <w:r w:rsidRPr="00141BED">
        <w:rPr>
          <w:rFonts w:ascii="Times New Roman" w:hAnsi="Times New Roman"/>
          <w:sz w:val="24"/>
          <w:szCs w:val="24"/>
          <w:lang w:val="en-US"/>
        </w:rPr>
        <w:t>). In the SFNR "Semey ormany" this relationship was not revealed.</w:t>
      </w:r>
    </w:p>
    <w:p w:rsidR="00481087" w:rsidRPr="00141BED" w:rsidRDefault="00481087"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As a result of the analysis, the features of the influence of the analyzed climatic factors on the width of the annual ring in time are noted. So, over the past 15 years, in the dry growing conditions of East Kazakhstan (SFNR "Semey Ormany"), there has been an increase in the influence of the temperature in May and June and a decrease in the influence of July temperatures on the width of the annual ring of pine trees (Figure </w:t>
      </w:r>
      <w:r w:rsidR="007C0BDC" w:rsidRPr="007C0BDC">
        <w:rPr>
          <w:rFonts w:ascii="Times New Roman" w:hAnsi="Times New Roman"/>
          <w:sz w:val="24"/>
          <w:szCs w:val="24"/>
          <w:lang w:val="en-US"/>
        </w:rPr>
        <w:t>5</w:t>
      </w:r>
      <w:r w:rsidRPr="00141BED">
        <w:rPr>
          <w:rFonts w:ascii="Times New Roman" w:hAnsi="Times New Roman"/>
          <w:sz w:val="24"/>
          <w:szCs w:val="24"/>
          <w:lang w:val="en-US"/>
        </w:rPr>
        <w:t>). The color shows the closeness of the relationship from negative (blue palette) to positive (red palette), green - the absence of a statistically significant relationship.</w:t>
      </w:r>
    </w:p>
    <w:p w:rsidR="00A820F1" w:rsidRPr="00141BED" w:rsidRDefault="00866C1D"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In similar forest growing conditions in Northern Kazakhstan, a close relationship between the temperatures of May, June and July with an annual increase in diameter is preserved at all sites, with the exception of </w:t>
      </w:r>
      <w:r w:rsidRPr="00141BED">
        <w:rPr>
          <w:rFonts w:ascii="Times New Roman" w:hAnsi="Times New Roman"/>
          <w:noProof/>
          <w:sz w:val="24"/>
          <w:szCs w:val="24"/>
          <w:lang w:val="en-US" w:eastAsia="ru-RU"/>
        </w:rPr>
        <w:t>MPI "Malo-Tyuktinskoe FE"</w:t>
      </w:r>
      <w:r w:rsidRPr="00141BED">
        <w:rPr>
          <w:rFonts w:ascii="Times New Roman" w:hAnsi="Times New Roman"/>
          <w:sz w:val="24"/>
          <w:szCs w:val="24"/>
          <w:lang w:val="en-US"/>
        </w:rPr>
        <w:t>, where the influence of July temperature has decreased over the past 15 years and the effect of May temperature is unstable.</w:t>
      </w:r>
    </w:p>
    <w:p w:rsidR="00A820F1" w:rsidRPr="00141BED" w:rsidRDefault="008F680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Thus, the main climatic factor that significantly affects the width of the annual ring of a pine growing in dry conditions of North and East Kazakhstan is the temperature in May and June. At the same time, in the conditions of East Kazakhstan, precipitation does not significantly </w:t>
      </w:r>
      <w:r w:rsidRPr="00141BED">
        <w:rPr>
          <w:rFonts w:ascii="Times New Roman" w:hAnsi="Times New Roman"/>
          <w:sz w:val="24"/>
          <w:szCs w:val="24"/>
          <w:lang w:val="en-US"/>
        </w:rPr>
        <w:lastRenderedPageBreak/>
        <w:t>affect the magnitude of the radial increase, and in the conditions of North Kazakhstan, the rainfall in June affects the indicator under consideration.</w:t>
      </w:r>
    </w:p>
    <w:p w:rsidR="00A820F1" w:rsidRPr="00141BED" w:rsidRDefault="00A820F1" w:rsidP="00141BED">
      <w:pPr>
        <w:spacing w:after="0" w:line="360" w:lineRule="auto"/>
        <w:ind w:firstLine="709"/>
        <w:jc w:val="both"/>
        <w:rPr>
          <w:rFonts w:ascii="Times New Roman" w:eastAsia="Times New Roman" w:hAnsi="Times New Roman"/>
          <w:sz w:val="24"/>
          <w:szCs w:val="24"/>
          <w:lang w:val="en-US" w:eastAsia="ru-RU"/>
        </w:rPr>
      </w:pPr>
    </w:p>
    <w:p w:rsidR="00A820F1" w:rsidRPr="00141BED" w:rsidRDefault="00F57D1F" w:rsidP="00141BED">
      <w:pPr>
        <w:spacing w:after="0" w:line="360" w:lineRule="auto"/>
        <w:ind w:firstLine="709"/>
        <w:jc w:val="center"/>
        <w:rPr>
          <w:rFonts w:ascii="Times New Roman" w:eastAsia="Times New Roman" w:hAnsi="Times New Roman"/>
          <w:sz w:val="24"/>
          <w:szCs w:val="24"/>
          <w:lang w:eastAsia="ru-RU"/>
        </w:rPr>
      </w:pPr>
      <w:r w:rsidRPr="00141BED">
        <w:rPr>
          <w:rFonts w:ascii="Times New Roman" w:hAnsi="Times New Roman"/>
          <w:noProof/>
          <w:sz w:val="24"/>
          <w:szCs w:val="24"/>
          <w:lang w:eastAsia="ru-RU"/>
        </w:rPr>
        <w:drawing>
          <wp:inline distT="0" distB="0" distL="0" distR="0" wp14:anchorId="7DCCAB1D" wp14:editId="2FCD82C1">
            <wp:extent cx="5337810" cy="2668905"/>
            <wp:effectExtent l="0" t="0" r="0" b="0"/>
            <wp:docPr id="7" name="Рисунок 7"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
                    <pic:cNvPicPr>
                      <a:picLocks noChangeAspect="1" noChangeArrowheads="1"/>
                    </pic:cNvPicPr>
                  </pic:nvPicPr>
                  <pic:blipFill>
                    <a:blip r:embed="rId16">
                      <a:extLst>
                        <a:ext uri="{28A0092B-C50C-407E-A947-70E740481C1C}">
                          <a14:useLocalDpi xmlns:a14="http://schemas.microsoft.com/office/drawing/2010/main" val="0"/>
                        </a:ext>
                      </a:extLst>
                    </a:blip>
                    <a:srcRect l="1418" t="1659" r="1215"/>
                    <a:stretch>
                      <a:fillRect/>
                    </a:stretch>
                  </pic:blipFill>
                  <pic:spPr bwMode="auto">
                    <a:xfrm>
                      <a:off x="0" y="0"/>
                      <a:ext cx="5337810" cy="2668905"/>
                    </a:xfrm>
                    <a:prstGeom prst="rect">
                      <a:avLst/>
                    </a:prstGeom>
                    <a:noFill/>
                    <a:ln>
                      <a:noFill/>
                    </a:ln>
                  </pic:spPr>
                </pic:pic>
              </a:graphicData>
            </a:graphic>
          </wp:inline>
        </w:drawing>
      </w:r>
    </w:p>
    <w:p w:rsidR="00D82DBF" w:rsidRPr="00141BED" w:rsidRDefault="00D82DBF" w:rsidP="00141BED">
      <w:pPr>
        <w:spacing w:after="0" w:line="360" w:lineRule="auto"/>
        <w:ind w:firstLine="709"/>
        <w:jc w:val="center"/>
        <w:rPr>
          <w:rFonts w:ascii="Times New Roman" w:eastAsia="Times New Roman" w:hAnsi="Times New Roman"/>
          <w:sz w:val="24"/>
          <w:szCs w:val="24"/>
          <w:lang w:eastAsia="ru-RU"/>
        </w:rPr>
      </w:pPr>
    </w:p>
    <w:p w:rsidR="00A820F1" w:rsidRPr="00141BED" w:rsidRDefault="008F680B" w:rsidP="00141BED">
      <w:pPr>
        <w:spacing w:after="0" w:line="360" w:lineRule="auto"/>
        <w:ind w:firstLine="567"/>
        <w:jc w:val="center"/>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 xml:space="preserve">Figure </w:t>
      </w:r>
      <w:r w:rsidR="007C0BDC" w:rsidRPr="007C0BDC">
        <w:rPr>
          <w:rFonts w:ascii="Times New Roman" w:eastAsia="Times New Roman" w:hAnsi="Times New Roman"/>
          <w:sz w:val="24"/>
          <w:szCs w:val="24"/>
          <w:lang w:val="en-US" w:eastAsia="ru-RU"/>
        </w:rPr>
        <w:t>5</w:t>
      </w:r>
      <w:r w:rsidRPr="00141BED">
        <w:rPr>
          <w:rFonts w:ascii="Times New Roman" w:eastAsia="Times New Roman" w:hAnsi="Times New Roman"/>
          <w:sz w:val="24"/>
          <w:szCs w:val="24"/>
          <w:lang w:val="en-US" w:eastAsia="ru-RU"/>
        </w:rPr>
        <w:t xml:space="preserve"> - Bootstrap analysis of the stability of the relationship between the tree-ring chronology of pine and temperature with a window of 50 years in the </w:t>
      </w:r>
      <w:r w:rsidRPr="00141BED">
        <w:rPr>
          <w:rFonts w:ascii="Times New Roman" w:hAnsi="Times New Roman"/>
          <w:sz w:val="24"/>
          <w:szCs w:val="24"/>
          <w:lang w:val="en-US"/>
        </w:rPr>
        <w:t>SFNR</w:t>
      </w:r>
      <w:r w:rsidRPr="00141BED">
        <w:rPr>
          <w:rFonts w:ascii="Times New Roman" w:eastAsia="Times New Roman" w:hAnsi="Times New Roman"/>
          <w:sz w:val="24"/>
          <w:szCs w:val="24"/>
          <w:lang w:val="en-US" w:eastAsia="ru-RU"/>
        </w:rPr>
        <w:t xml:space="preserve"> </w:t>
      </w:r>
      <w:r w:rsidR="00F232F5" w:rsidRPr="00141BED">
        <w:rPr>
          <w:rFonts w:ascii="Times New Roman" w:eastAsia="Times New Roman" w:hAnsi="Times New Roman"/>
          <w:sz w:val="24"/>
          <w:szCs w:val="24"/>
          <w:lang w:val="en-US" w:eastAsia="ru-RU"/>
        </w:rPr>
        <w:t>"Semey Ormany</w:t>
      </w:r>
      <w:r w:rsidRPr="00141BED">
        <w:rPr>
          <w:rFonts w:ascii="Times New Roman" w:eastAsia="Times New Roman" w:hAnsi="Times New Roman"/>
          <w:sz w:val="24"/>
          <w:szCs w:val="24"/>
          <w:lang w:val="en-US" w:eastAsia="ru-RU"/>
        </w:rPr>
        <w:t>"</w:t>
      </w:r>
    </w:p>
    <w:p w:rsidR="008F680B" w:rsidRPr="00141BED" w:rsidRDefault="008F680B" w:rsidP="00141BED">
      <w:pPr>
        <w:spacing w:after="0" w:line="360" w:lineRule="auto"/>
        <w:ind w:firstLine="567"/>
        <w:jc w:val="both"/>
        <w:rPr>
          <w:rFonts w:ascii="Times New Roman" w:hAnsi="Times New Roman"/>
          <w:sz w:val="24"/>
          <w:szCs w:val="24"/>
          <w:lang w:val="en-US"/>
        </w:rPr>
      </w:pPr>
    </w:p>
    <w:p w:rsidR="00A905E8" w:rsidRPr="00141BED" w:rsidRDefault="00A905E8" w:rsidP="00141BED">
      <w:pPr>
        <w:pStyle w:val="a3"/>
        <w:spacing w:after="0" w:line="360" w:lineRule="auto"/>
        <w:ind w:left="0" w:firstLine="567"/>
        <w:jc w:val="both"/>
        <w:rPr>
          <w:rFonts w:ascii="Times New Roman" w:hAnsi="Times New Roman"/>
          <w:sz w:val="24"/>
          <w:szCs w:val="24"/>
          <w:lang w:val="en-US" w:eastAsia="en-US"/>
        </w:rPr>
      </w:pPr>
      <w:r w:rsidRPr="00141BED">
        <w:rPr>
          <w:rFonts w:ascii="Times New Roman" w:hAnsi="Times New Roman"/>
          <w:sz w:val="24"/>
          <w:szCs w:val="24"/>
          <w:lang w:val="en-US" w:eastAsia="en-US"/>
        </w:rPr>
        <w:t>There is a general tendency of an increase in the influence of the temperature of the end of the growing season of the previous year (July-September) during the last 15-20 years on the annual growth of pine in all the studied objects. The influence of precipitation in July-August of the previous year decreases over the last 10 years in the conditions of Northern Kazakhstan and increases in the conditions of East Kazakhstan.</w:t>
      </w:r>
    </w:p>
    <w:p w:rsidR="00A820F1" w:rsidRPr="00141BED" w:rsidRDefault="00A905E8" w:rsidP="00141BED">
      <w:pPr>
        <w:spacing w:after="0" w:line="360" w:lineRule="auto"/>
        <w:ind w:firstLine="567"/>
        <w:jc w:val="both"/>
        <w:rPr>
          <w:rFonts w:ascii="Times New Roman" w:hAnsi="Times New Roman"/>
          <w:sz w:val="24"/>
          <w:szCs w:val="24"/>
          <w:lang w:val="x-none" w:eastAsia="x-none"/>
        </w:rPr>
      </w:pPr>
      <w:r w:rsidRPr="00141BED">
        <w:rPr>
          <w:rFonts w:ascii="Times New Roman" w:hAnsi="Times New Roman"/>
          <w:sz w:val="24"/>
          <w:szCs w:val="24"/>
          <w:lang w:val="x-none" w:eastAsia="x-none"/>
        </w:rPr>
        <w:t>According to the results of the research, it was found that over the past 15-20 years in the conditions of Northern Kazakhstan, there is a close relationship between the hydrothermal coefficient (</w:t>
      </w:r>
      <w:r w:rsidRPr="00141BED">
        <w:rPr>
          <w:rFonts w:ascii="Times New Roman" w:hAnsi="Times New Roman"/>
          <w:sz w:val="24"/>
          <w:szCs w:val="24"/>
          <w:lang w:val="en-US" w:eastAsia="x-none"/>
        </w:rPr>
        <w:t>H</w:t>
      </w:r>
      <w:r w:rsidRPr="00141BED">
        <w:rPr>
          <w:rFonts w:ascii="Times New Roman" w:hAnsi="Times New Roman"/>
          <w:sz w:val="24"/>
          <w:szCs w:val="24"/>
          <w:lang w:val="x-none" w:eastAsia="x-none"/>
        </w:rPr>
        <w:t xml:space="preserve">TC) and the annual growth of pine in diameter in plantations. With the help of the </w:t>
      </w:r>
      <w:r w:rsidRPr="00141BED">
        <w:rPr>
          <w:rFonts w:ascii="Times New Roman" w:hAnsi="Times New Roman"/>
          <w:sz w:val="24"/>
          <w:szCs w:val="24"/>
          <w:lang w:val="en-US" w:eastAsia="x-none"/>
        </w:rPr>
        <w:t>HT</w:t>
      </w:r>
      <w:r w:rsidRPr="00141BED">
        <w:rPr>
          <w:rFonts w:ascii="Times New Roman" w:hAnsi="Times New Roman"/>
          <w:sz w:val="24"/>
          <w:szCs w:val="24"/>
          <w:lang w:val="x-none" w:eastAsia="x-none"/>
        </w:rPr>
        <w:t>C, it was once again confirmed that the width of the annual ring is most affected by the climate signal of temperature and least affected by precipitation.</w:t>
      </w:r>
    </w:p>
    <w:p w:rsidR="00A905E8" w:rsidRPr="00141BED" w:rsidRDefault="00A905E8" w:rsidP="00141BED">
      <w:pPr>
        <w:spacing w:after="0" w:line="360" w:lineRule="auto"/>
        <w:ind w:firstLine="567"/>
        <w:jc w:val="both"/>
        <w:rPr>
          <w:rFonts w:ascii="Times New Roman" w:hAnsi="Times New Roman"/>
          <w:sz w:val="24"/>
          <w:szCs w:val="24"/>
          <w:lang w:val="x-none"/>
        </w:rPr>
      </w:pPr>
    </w:p>
    <w:p w:rsidR="00E46E35" w:rsidRPr="001C4554" w:rsidRDefault="00A820F1" w:rsidP="00141BED">
      <w:pPr>
        <w:spacing w:after="0" w:line="360" w:lineRule="auto"/>
        <w:ind w:firstLine="567"/>
        <w:jc w:val="both"/>
        <w:rPr>
          <w:rFonts w:ascii="Times New Roman" w:hAnsi="Times New Roman"/>
          <w:b/>
          <w:sz w:val="24"/>
          <w:szCs w:val="24"/>
          <w:lang w:val="en-US"/>
        </w:rPr>
      </w:pPr>
      <w:proofErr w:type="gramStart"/>
      <w:r w:rsidRPr="001C4554">
        <w:rPr>
          <w:rFonts w:ascii="Times New Roman" w:hAnsi="Times New Roman"/>
          <w:b/>
          <w:sz w:val="24"/>
          <w:szCs w:val="24"/>
          <w:lang w:val="en-US"/>
        </w:rPr>
        <w:t xml:space="preserve">3.2  </w:t>
      </w:r>
      <w:r w:rsidR="00E46E35" w:rsidRPr="001C4554">
        <w:rPr>
          <w:rFonts w:ascii="Times New Roman" w:hAnsi="Times New Roman"/>
          <w:b/>
          <w:sz w:val="24"/>
          <w:szCs w:val="24"/>
          <w:lang w:val="en-US"/>
        </w:rPr>
        <w:t>Characteristics</w:t>
      </w:r>
      <w:proofErr w:type="gramEnd"/>
      <w:r w:rsidR="00E46E35" w:rsidRPr="001C4554">
        <w:rPr>
          <w:rFonts w:ascii="Times New Roman" w:hAnsi="Times New Roman"/>
          <w:b/>
          <w:sz w:val="24"/>
          <w:szCs w:val="24"/>
          <w:lang w:val="en-US"/>
        </w:rPr>
        <w:t xml:space="preserve"> of the effect of forest fires on the radial growth of Scots pine</w:t>
      </w:r>
    </w:p>
    <w:p w:rsidR="007C0BDC" w:rsidRPr="007C0BDC" w:rsidRDefault="007C0BDC" w:rsidP="00141BED">
      <w:pPr>
        <w:spacing w:after="0" w:line="360" w:lineRule="auto"/>
        <w:ind w:firstLine="567"/>
        <w:jc w:val="both"/>
        <w:rPr>
          <w:rFonts w:ascii="Times New Roman" w:hAnsi="Times New Roman"/>
          <w:sz w:val="24"/>
          <w:szCs w:val="24"/>
          <w:lang w:val="en-US"/>
        </w:rPr>
      </w:pPr>
    </w:p>
    <w:p w:rsidR="00A820F1" w:rsidRPr="00141BED" w:rsidRDefault="00E46E35"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The analysis of the effect of fires on the radial growth of pine was carried out on the example of the </w:t>
      </w:r>
      <w:r w:rsidRPr="00141BED">
        <w:rPr>
          <w:rFonts w:ascii="Times New Roman" w:hAnsi="Times New Roman"/>
          <w:noProof/>
          <w:sz w:val="24"/>
          <w:szCs w:val="24"/>
          <w:lang w:val="en-US" w:eastAsia="ru-RU"/>
        </w:rPr>
        <w:t>MPI "Malo-Tyuktinskoe FE"</w:t>
      </w:r>
      <w:r w:rsidRPr="00141BED">
        <w:rPr>
          <w:rFonts w:ascii="Times New Roman" w:hAnsi="Times New Roman"/>
          <w:sz w:val="24"/>
          <w:szCs w:val="24"/>
          <w:lang w:val="en-US"/>
        </w:rPr>
        <w:t xml:space="preserve"> after a crown fire in 2002. The influence of fire on the radial growth of pine was assessed by a comparative analysis of data from 2 generalized tree-</w:t>
      </w:r>
      <w:r w:rsidRPr="00141BED">
        <w:rPr>
          <w:rFonts w:ascii="Times New Roman" w:hAnsi="Times New Roman"/>
          <w:sz w:val="24"/>
          <w:szCs w:val="24"/>
          <w:lang w:val="en-US"/>
        </w:rPr>
        <w:lastRenderedPageBreak/>
        <w:t xml:space="preserve">ring chronologies: </w:t>
      </w:r>
      <w:r w:rsidR="00537854" w:rsidRPr="00141BED">
        <w:rPr>
          <w:rFonts w:ascii="Times New Roman" w:hAnsi="Times New Roman"/>
          <w:sz w:val="24"/>
          <w:szCs w:val="24"/>
          <w:lang w:val="en-US"/>
        </w:rPr>
        <w:t xml:space="preserve">from the side of the tree stem </w:t>
      </w:r>
      <w:r w:rsidRPr="00141BED">
        <w:rPr>
          <w:rFonts w:ascii="Times New Roman" w:hAnsi="Times New Roman"/>
          <w:sz w:val="24"/>
          <w:szCs w:val="24"/>
          <w:lang w:val="en-US"/>
        </w:rPr>
        <w:t xml:space="preserve">exposed to the maximum impact fire ("fire dry") and without signs of fire </w:t>
      </w:r>
      <w:r w:rsidR="00537854" w:rsidRPr="00141BED">
        <w:rPr>
          <w:rFonts w:ascii="Times New Roman" w:hAnsi="Times New Roman"/>
          <w:sz w:val="24"/>
          <w:szCs w:val="24"/>
          <w:lang w:val="en-US"/>
        </w:rPr>
        <w:t>dry ("fireless side of the tree stem</w:t>
      </w:r>
      <w:r w:rsidRPr="00141BED">
        <w:rPr>
          <w:rFonts w:ascii="Times New Roman" w:hAnsi="Times New Roman"/>
          <w:sz w:val="24"/>
          <w:szCs w:val="24"/>
          <w:lang w:val="en-US"/>
        </w:rPr>
        <w:t xml:space="preserve">"). A preliminary analysis of </w:t>
      </w:r>
      <w:r w:rsidR="003A1881" w:rsidRPr="00141BED">
        <w:rPr>
          <w:rFonts w:ascii="Times New Roman" w:hAnsi="Times New Roman"/>
          <w:sz w:val="24"/>
          <w:szCs w:val="24"/>
          <w:lang w:val="en-US"/>
        </w:rPr>
        <w:t>the comparison of two pine radius</w:t>
      </w:r>
      <w:r w:rsidRPr="00141BED">
        <w:rPr>
          <w:rFonts w:ascii="Times New Roman" w:hAnsi="Times New Roman"/>
          <w:sz w:val="24"/>
          <w:szCs w:val="24"/>
          <w:lang w:val="en-US"/>
        </w:rPr>
        <w:t xml:space="preserve"> </w:t>
      </w:r>
      <w:r w:rsidR="003A1881" w:rsidRPr="00141BED">
        <w:rPr>
          <w:rFonts w:ascii="Times New Roman" w:hAnsi="Times New Roman"/>
          <w:sz w:val="24"/>
          <w:szCs w:val="24"/>
          <w:lang w:val="en-US"/>
        </w:rPr>
        <w:t>(</w:t>
      </w:r>
      <w:hyperlink r:id="rId17" w:history="1">
        <w:r w:rsidR="00537854" w:rsidRPr="00141BED">
          <w:rPr>
            <w:rFonts w:ascii="Times New Roman" w:hAnsi="Times New Roman"/>
            <w:sz w:val="24"/>
            <w:szCs w:val="24"/>
            <w:lang w:val="en-US"/>
          </w:rPr>
          <w:t>throw</w:t>
        </w:r>
      </w:hyperlink>
      <w:r w:rsidR="00537854" w:rsidRPr="00141BED">
        <w:rPr>
          <w:rFonts w:ascii="Times New Roman" w:hAnsi="Times New Roman"/>
          <w:sz w:val="24"/>
          <w:szCs w:val="24"/>
          <w:lang w:val="en-US"/>
        </w:rPr>
        <w:t xml:space="preserve">) </w:t>
      </w:r>
      <w:r w:rsidRPr="00141BED">
        <w:rPr>
          <w:rFonts w:ascii="Times New Roman" w:hAnsi="Times New Roman"/>
          <w:sz w:val="24"/>
          <w:szCs w:val="24"/>
          <w:lang w:val="en-US"/>
        </w:rPr>
        <w:t xml:space="preserve">showed that there are differences in the dynamics of radial </w:t>
      </w:r>
      <w:r w:rsidR="00D21CD5" w:rsidRPr="00141BED">
        <w:rPr>
          <w:rFonts w:ascii="Times New Roman" w:hAnsi="Times New Roman"/>
          <w:sz w:val="24"/>
          <w:szCs w:val="24"/>
          <w:lang w:val="en-US"/>
        </w:rPr>
        <w:t>increment</w:t>
      </w:r>
      <w:r w:rsidRPr="00141BED">
        <w:rPr>
          <w:rFonts w:ascii="Times New Roman" w:hAnsi="Times New Roman"/>
          <w:sz w:val="24"/>
          <w:szCs w:val="24"/>
          <w:lang w:val="en-US"/>
        </w:rPr>
        <w:t xml:space="preserve">. The side with a fire dry is characterized by a slower annual </w:t>
      </w:r>
      <w:r w:rsidR="00D21CD5" w:rsidRPr="00141BED">
        <w:rPr>
          <w:rFonts w:ascii="Times New Roman" w:hAnsi="Times New Roman"/>
          <w:sz w:val="24"/>
          <w:szCs w:val="24"/>
          <w:lang w:val="en-US"/>
        </w:rPr>
        <w:t>increment</w:t>
      </w:r>
      <w:r w:rsidRPr="00141BED">
        <w:rPr>
          <w:rFonts w:ascii="Times New Roman" w:hAnsi="Times New Roman"/>
          <w:sz w:val="24"/>
          <w:szCs w:val="24"/>
          <w:lang w:val="en-US"/>
        </w:rPr>
        <w:t xml:space="preserve"> compared to the side without signs of fire. However, differences in the indicator under consideration have been noted since the end of the 50s. </w:t>
      </w:r>
      <w:proofErr w:type="gramStart"/>
      <w:r w:rsidR="00D21CD5" w:rsidRPr="00141BED">
        <w:rPr>
          <w:rFonts w:ascii="Times New Roman" w:hAnsi="Times New Roman"/>
          <w:sz w:val="24"/>
          <w:szCs w:val="24"/>
          <w:lang w:val="en-US"/>
        </w:rPr>
        <w:t>of</w:t>
      </w:r>
      <w:proofErr w:type="gramEnd"/>
      <w:r w:rsidR="00D21CD5" w:rsidRPr="00141BED">
        <w:rPr>
          <w:rFonts w:ascii="Times New Roman" w:hAnsi="Times New Roman"/>
          <w:sz w:val="24"/>
          <w:szCs w:val="24"/>
          <w:lang w:val="en-US"/>
        </w:rPr>
        <w:t xml:space="preserve"> </w:t>
      </w:r>
      <w:r w:rsidRPr="00141BED">
        <w:rPr>
          <w:rFonts w:ascii="Times New Roman" w:hAnsi="Times New Roman"/>
          <w:sz w:val="24"/>
          <w:szCs w:val="24"/>
          <w:lang w:val="en-US"/>
        </w:rPr>
        <w:t>XX ce</w:t>
      </w:r>
      <w:r w:rsidR="007C0BDC">
        <w:rPr>
          <w:rFonts w:ascii="Times New Roman" w:hAnsi="Times New Roman"/>
          <w:sz w:val="24"/>
          <w:szCs w:val="24"/>
          <w:lang w:val="en-US"/>
        </w:rPr>
        <w:t xml:space="preserve">ntury (Figure </w:t>
      </w:r>
      <w:r w:rsidR="007C0BDC" w:rsidRPr="007C0BDC">
        <w:rPr>
          <w:rFonts w:ascii="Times New Roman" w:hAnsi="Times New Roman"/>
          <w:sz w:val="24"/>
          <w:szCs w:val="24"/>
          <w:lang w:val="en-US"/>
        </w:rPr>
        <w:t>6</w:t>
      </w:r>
      <w:r w:rsidRPr="00141BED">
        <w:rPr>
          <w:rFonts w:ascii="Times New Roman" w:hAnsi="Times New Roman"/>
          <w:sz w:val="24"/>
          <w:szCs w:val="24"/>
          <w:lang w:val="en-US"/>
        </w:rPr>
        <w:t>).</w:t>
      </w:r>
    </w:p>
    <w:p w:rsidR="00D82DBF" w:rsidRPr="00141BED" w:rsidRDefault="00C00D55" w:rsidP="00141BED">
      <w:pPr>
        <w:spacing w:after="0"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3600" cy="2644140"/>
            <wp:effectExtent l="0" t="0" r="0" b="381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0" w:name="_GoBack"/>
      <w:bookmarkEnd w:id="0"/>
    </w:p>
    <w:p w:rsidR="00A820F1" w:rsidRPr="00141BED" w:rsidRDefault="00A820F1" w:rsidP="00141BED">
      <w:pPr>
        <w:spacing w:after="0" w:line="360" w:lineRule="auto"/>
        <w:jc w:val="both"/>
        <w:rPr>
          <w:rFonts w:ascii="Times New Roman" w:hAnsi="Times New Roman"/>
          <w:sz w:val="24"/>
          <w:szCs w:val="24"/>
          <w:lang w:val="en-US"/>
        </w:rPr>
      </w:pPr>
    </w:p>
    <w:p w:rsidR="00A820F1" w:rsidRPr="00141BED" w:rsidRDefault="003138E3" w:rsidP="00141BED">
      <w:pPr>
        <w:spacing w:after="0" w:line="360" w:lineRule="auto"/>
        <w:jc w:val="center"/>
        <w:rPr>
          <w:rFonts w:ascii="Times New Roman" w:hAnsi="Times New Roman"/>
          <w:noProof/>
          <w:sz w:val="24"/>
          <w:szCs w:val="24"/>
          <w:lang w:val="en-US" w:eastAsia="ru-RU"/>
        </w:rPr>
      </w:pPr>
      <w:r w:rsidRPr="00141BED">
        <w:rPr>
          <w:rFonts w:ascii="Times New Roman" w:hAnsi="Times New Roman"/>
          <w:sz w:val="24"/>
          <w:szCs w:val="24"/>
          <w:lang w:val="en-US"/>
        </w:rPr>
        <w:t xml:space="preserve">Figure </w:t>
      </w:r>
      <w:r w:rsidR="007C0BDC" w:rsidRPr="007C0BDC">
        <w:rPr>
          <w:rFonts w:ascii="Times New Roman" w:hAnsi="Times New Roman"/>
          <w:sz w:val="24"/>
          <w:szCs w:val="24"/>
          <w:lang w:val="en-US"/>
        </w:rPr>
        <w:t>6</w:t>
      </w:r>
      <w:r w:rsidRPr="00141BED">
        <w:rPr>
          <w:rFonts w:ascii="Times New Roman" w:hAnsi="Times New Roman"/>
          <w:sz w:val="24"/>
          <w:szCs w:val="24"/>
          <w:lang w:val="en-US"/>
        </w:rPr>
        <w:t xml:space="preserve"> - Tree-ring chronology of pine in the area covered by a forest fire at </w:t>
      </w:r>
      <w:r w:rsidRPr="00141BED">
        <w:rPr>
          <w:rFonts w:ascii="Times New Roman" w:hAnsi="Times New Roman"/>
          <w:noProof/>
          <w:sz w:val="24"/>
          <w:szCs w:val="24"/>
          <w:lang w:val="en-US" w:eastAsia="ru-RU"/>
        </w:rPr>
        <w:t>MPI "Malo-Tyuktinskoe FE"</w:t>
      </w:r>
    </w:p>
    <w:p w:rsidR="003138E3" w:rsidRPr="00141BED" w:rsidRDefault="003138E3" w:rsidP="00141BED">
      <w:pPr>
        <w:spacing w:after="0" w:line="360" w:lineRule="auto"/>
        <w:jc w:val="center"/>
        <w:rPr>
          <w:rFonts w:ascii="Times New Roman" w:hAnsi="Times New Roman"/>
          <w:sz w:val="24"/>
          <w:szCs w:val="24"/>
          <w:lang w:val="en-US"/>
        </w:rPr>
      </w:pPr>
    </w:p>
    <w:p w:rsidR="003138E3" w:rsidRPr="00141BED" w:rsidRDefault="003138E3"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We can note the time period – 1955-1960, when the compared chronologies show significant differences in the values of the width of the annual ring. As can</w:t>
      </w:r>
      <w:r w:rsidR="00D21CD5" w:rsidRPr="00141BED">
        <w:rPr>
          <w:rFonts w:ascii="Times New Roman" w:hAnsi="Times New Roman"/>
          <w:sz w:val="24"/>
          <w:szCs w:val="24"/>
          <w:lang w:val="en-US"/>
        </w:rPr>
        <w:t xml:space="preserve"> be</w:t>
      </w:r>
      <w:r w:rsidRPr="00141BED">
        <w:rPr>
          <w:rFonts w:ascii="Times New Roman" w:hAnsi="Times New Roman"/>
          <w:sz w:val="24"/>
          <w:szCs w:val="24"/>
          <w:lang w:val="en-US"/>
        </w:rPr>
        <w:t xml:space="preserve"> see</w:t>
      </w:r>
      <w:r w:rsidR="00D21CD5" w:rsidRPr="00141BED">
        <w:rPr>
          <w:rFonts w:ascii="Times New Roman" w:hAnsi="Times New Roman"/>
          <w:sz w:val="24"/>
          <w:szCs w:val="24"/>
          <w:lang w:val="en-US"/>
        </w:rPr>
        <w:t>n</w:t>
      </w:r>
      <w:r w:rsidRPr="00141BED">
        <w:rPr>
          <w:rFonts w:ascii="Times New Roman" w:hAnsi="Times New Roman"/>
          <w:sz w:val="24"/>
          <w:szCs w:val="24"/>
          <w:lang w:val="en-US"/>
        </w:rPr>
        <w:t>, before this period, the tree-ring chronologies compared by the degree of fire impact on the sides of the trees are identical, that is, the radial growth of trees in this area took place evenly from all sides. After that, there is an increase in differences in the values of the indicator under consideration, which increases with each subsequent decade. It should be noted that there were no significant differences in weather conditions during the study period. If we assume that in the 50s of the last century there was a fire in this plantation, which is very likely, then the difference in the growth of pine becomes clear.</w:t>
      </w:r>
    </w:p>
    <w:p w:rsidR="00E670F7" w:rsidRPr="00141BED" w:rsidRDefault="00E670F7"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Comparison of correlatio</w:t>
      </w:r>
      <w:r w:rsidR="003A1881" w:rsidRPr="00141BED">
        <w:rPr>
          <w:rFonts w:ascii="Times New Roman" w:hAnsi="Times New Roman"/>
          <w:sz w:val="24"/>
          <w:szCs w:val="24"/>
          <w:lang w:val="en-US"/>
        </w:rPr>
        <w:t>n coefficients between two radius</w:t>
      </w:r>
      <w:r w:rsidRPr="00141BED">
        <w:rPr>
          <w:rFonts w:ascii="Times New Roman" w:hAnsi="Times New Roman"/>
          <w:sz w:val="24"/>
          <w:szCs w:val="24"/>
          <w:lang w:val="en-US"/>
        </w:rPr>
        <w:t xml:space="preserve"> of the same tree showed that the corre</w:t>
      </w:r>
      <w:r w:rsidR="003A1881" w:rsidRPr="00141BED">
        <w:rPr>
          <w:rFonts w:ascii="Times New Roman" w:hAnsi="Times New Roman"/>
          <w:sz w:val="24"/>
          <w:szCs w:val="24"/>
          <w:lang w:val="en-US"/>
        </w:rPr>
        <w:t>lation coefficient between radius</w:t>
      </w:r>
      <w:r w:rsidRPr="00141BED">
        <w:rPr>
          <w:rFonts w:ascii="Times New Roman" w:hAnsi="Times New Roman"/>
          <w:sz w:val="24"/>
          <w:szCs w:val="24"/>
          <w:lang w:val="en-US"/>
        </w:rPr>
        <w:t xml:space="preserve"> is very high (r=0.96) between 1863 and 1955, and r=0.88 between 1955 and 2001. The strongest changes occurred after 2001, when the c</w:t>
      </w:r>
      <w:r w:rsidR="003A1881" w:rsidRPr="00141BED">
        <w:rPr>
          <w:rFonts w:ascii="Times New Roman" w:hAnsi="Times New Roman"/>
          <w:sz w:val="24"/>
          <w:szCs w:val="24"/>
          <w:lang w:val="en-US"/>
        </w:rPr>
        <w:t>orrelation between the two radius</w:t>
      </w:r>
      <w:r w:rsidRPr="00141BED">
        <w:rPr>
          <w:rFonts w:ascii="Times New Roman" w:hAnsi="Times New Roman"/>
          <w:sz w:val="24"/>
          <w:szCs w:val="24"/>
          <w:lang w:val="en-US"/>
        </w:rPr>
        <w:t xml:space="preserve"> was 0.84, and in the short period corresponding to post-fire recovery, </w:t>
      </w:r>
      <w:proofErr w:type="gramStart"/>
      <w:r w:rsidRPr="00141BED">
        <w:rPr>
          <w:rFonts w:ascii="Times New Roman" w:hAnsi="Times New Roman"/>
          <w:sz w:val="24"/>
          <w:szCs w:val="24"/>
          <w:lang w:val="en-US"/>
        </w:rPr>
        <w:lastRenderedPageBreak/>
        <w:t>between 2002-2017,</w:t>
      </w:r>
      <w:proofErr w:type="gramEnd"/>
      <w:r w:rsidRPr="00141BED">
        <w:rPr>
          <w:rFonts w:ascii="Times New Roman" w:hAnsi="Times New Roman"/>
          <w:sz w:val="24"/>
          <w:szCs w:val="24"/>
          <w:lang w:val="en-US"/>
        </w:rPr>
        <w:t xml:space="preserve"> r=0.34. Thus, after a fire within a single tree, there are significant changes in the dynamics of annual growth in two opposite directions.</w:t>
      </w:r>
    </w:p>
    <w:p w:rsidR="00537854" w:rsidRPr="00141BED" w:rsidRDefault="00537854"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The results of one-way analysis of variance show that at the beginning of growth, no statistically significant differences were found between the tree-ring width from an intact by fire habitat and the annual growth of trees exposed to fire (1866 to 1955). After 1955, the differences become significant on the dry side of the tree stem, and not significant on the fireless side (p&gt; 0.05). After the 2001 fire, differences in the width of the annual ring were revealed already along both </w:t>
      </w:r>
      <w:proofErr w:type="gramStart"/>
      <w:r w:rsidRPr="00141BED">
        <w:rPr>
          <w:rFonts w:ascii="Times New Roman" w:hAnsi="Times New Roman"/>
          <w:sz w:val="24"/>
          <w:szCs w:val="24"/>
          <w:lang w:val="en-US"/>
        </w:rPr>
        <w:t>radius</w:t>
      </w:r>
      <w:proofErr w:type="gramEnd"/>
      <w:r w:rsidRPr="00141BED">
        <w:rPr>
          <w:rFonts w:ascii="Times New Roman" w:hAnsi="Times New Roman"/>
          <w:sz w:val="24"/>
          <w:szCs w:val="24"/>
          <w:lang w:val="en-US"/>
        </w:rPr>
        <w:t xml:space="preserve"> (p&gt; 0.00001).</w:t>
      </w:r>
    </w:p>
    <w:p w:rsidR="00537854" w:rsidRPr="00141BED" w:rsidRDefault="00537854"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In the period without any violations (1866-1955), the correlation between the chronologies for intact trees and the fire-free and fire sides of the tree stem was 0.78 and 0.81, respectively. Comparison of the dynamics of annual growth of trees exposed to fire with the dynamics of annual growth of trees from an undisturbed by fire habitat showed that the side of the tree that was most exposed to fire has a negative correlation with the chronology of undisturbed trees for the period from 2002 to 2010. (r=-0.09), while the opposite side of the stem has a closer relationship with undisturbed trees (r=0.30).</w:t>
      </w:r>
    </w:p>
    <w:p w:rsidR="00537854" w:rsidRPr="00141BED" w:rsidRDefault="00537854"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Thus, trees that have survived the impact of fire change the nature and dynamics of their growth. At the same time, the fire-dried side of the stem is characterized by a significant decrease in growth and a change in the weather dynamics of the annual ring width.</w:t>
      </w:r>
    </w:p>
    <w:p w:rsidR="00537854" w:rsidRPr="00141BED" w:rsidRDefault="00537854" w:rsidP="00141BED">
      <w:pPr>
        <w:pStyle w:val="a3"/>
        <w:spacing w:after="0" w:line="360" w:lineRule="auto"/>
        <w:ind w:left="0" w:firstLine="567"/>
        <w:jc w:val="both"/>
        <w:rPr>
          <w:rFonts w:ascii="Times New Roman" w:hAnsi="Times New Roman"/>
          <w:sz w:val="24"/>
          <w:szCs w:val="24"/>
          <w:lang w:val="en-US" w:eastAsia="en-US"/>
        </w:rPr>
      </w:pPr>
      <w:r w:rsidRPr="00141BED">
        <w:rPr>
          <w:rFonts w:ascii="Times New Roman" w:hAnsi="Times New Roman"/>
          <w:sz w:val="24"/>
          <w:szCs w:val="24"/>
          <w:lang w:val="en-US" w:eastAsia="en-US"/>
        </w:rPr>
        <w:t xml:space="preserve">The ribbon forests of the Irtysh region were greatly affected by forest fires in the late 90's and early 2000's. </w:t>
      </w:r>
    </w:p>
    <w:p w:rsidR="00BE4B28" w:rsidRPr="00141BED" w:rsidRDefault="00BE4B28" w:rsidP="00141BED">
      <w:pPr>
        <w:pStyle w:val="a3"/>
        <w:spacing w:after="0" w:line="360" w:lineRule="auto"/>
        <w:ind w:left="0" w:firstLine="567"/>
        <w:jc w:val="both"/>
        <w:rPr>
          <w:rFonts w:ascii="Times New Roman" w:hAnsi="Times New Roman"/>
          <w:sz w:val="24"/>
          <w:szCs w:val="24"/>
        </w:rPr>
      </w:pPr>
      <w:r w:rsidRPr="00141BED">
        <w:rPr>
          <w:rFonts w:ascii="Times New Roman" w:hAnsi="Times New Roman"/>
          <w:sz w:val="24"/>
          <w:szCs w:val="24"/>
        </w:rPr>
        <w:t xml:space="preserve">Comparison of the dynamics of annual </w:t>
      </w:r>
      <w:r w:rsidR="00D21CD5" w:rsidRPr="00141BED">
        <w:rPr>
          <w:rFonts w:ascii="Times New Roman" w:hAnsi="Times New Roman"/>
          <w:sz w:val="24"/>
          <w:szCs w:val="24"/>
          <w:lang w:val="en-US"/>
        </w:rPr>
        <w:t>increment</w:t>
      </w:r>
      <w:r w:rsidRPr="00141BED">
        <w:rPr>
          <w:rFonts w:ascii="Times New Roman" w:hAnsi="Times New Roman"/>
          <w:sz w:val="24"/>
          <w:szCs w:val="24"/>
        </w:rPr>
        <w:t xml:space="preserve"> of trees affected by forest fire with the dynamics of annual </w:t>
      </w:r>
      <w:r w:rsidR="00D21CD5" w:rsidRPr="00141BED">
        <w:rPr>
          <w:rFonts w:ascii="Times New Roman" w:hAnsi="Times New Roman"/>
          <w:sz w:val="24"/>
          <w:szCs w:val="24"/>
          <w:lang w:val="en-US"/>
        </w:rPr>
        <w:t>increment</w:t>
      </w:r>
      <w:r w:rsidRPr="00141BED">
        <w:rPr>
          <w:rFonts w:ascii="Times New Roman" w:hAnsi="Times New Roman"/>
          <w:sz w:val="24"/>
          <w:szCs w:val="24"/>
        </w:rPr>
        <w:t xml:space="preserve"> of trees from undisturbed habitat in the "Semey ormany" SFNR showed that trees that survived the impact of fire in most cases do not change the nature and dynamics of their </w:t>
      </w:r>
      <w:r w:rsidR="00D21CD5" w:rsidRPr="00141BED">
        <w:rPr>
          <w:rFonts w:ascii="Times New Roman" w:hAnsi="Times New Roman"/>
          <w:sz w:val="24"/>
          <w:szCs w:val="24"/>
          <w:lang w:val="en-US"/>
        </w:rPr>
        <w:t>increment</w:t>
      </w:r>
      <w:r w:rsidRPr="00141BED">
        <w:rPr>
          <w:rFonts w:ascii="Times New Roman" w:hAnsi="Times New Roman"/>
          <w:sz w:val="24"/>
          <w:szCs w:val="24"/>
        </w:rPr>
        <w:t xml:space="preserve"> (figure </w:t>
      </w:r>
      <w:r w:rsidR="007C0BDC" w:rsidRPr="007C0BDC">
        <w:rPr>
          <w:rFonts w:ascii="Times New Roman" w:hAnsi="Times New Roman"/>
          <w:sz w:val="24"/>
          <w:szCs w:val="24"/>
          <w:lang w:val="en-US"/>
        </w:rPr>
        <w:t>7</w:t>
      </w:r>
      <w:r w:rsidRPr="00141BED">
        <w:rPr>
          <w:rFonts w:ascii="Times New Roman" w:hAnsi="Times New Roman"/>
          <w:sz w:val="24"/>
          <w:szCs w:val="24"/>
        </w:rPr>
        <w:t xml:space="preserve">). At the same time, the fire-dried side of the tree stem is characterized by an insignificant decrease in </w:t>
      </w:r>
      <w:r w:rsidR="00D21CD5" w:rsidRPr="00141BED">
        <w:rPr>
          <w:rFonts w:ascii="Times New Roman" w:hAnsi="Times New Roman"/>
          <w:sz w:val="24"/>
          <w:szCs w:val="24"/>
          <w:lang w:val="en-US"/>
        </w:rPr>
        <w:t>increment</w:t>
      </w:r>
      <w:r w:rsidRPr="00141BED">
        <w:rPr>
          <w:rFonts w:ascii="Times New Roman" w:hAnsi="Times New Roman"/>
          <w:sz w:val="24"/>
          <w:szCs w:val="24"/>
        </w:rPr>
        <w:t xml:space="preserve"> and a change in the weather dynamics of the annual ring width. </w:t>
      </w:r>
    </w:p>
    <w:p w:rsidR="00BE4B28" w:rsidRPr="00141BED" w:rsidRDefault="00BE4B28" w:rsidP="00141BED">
      <w:pPr>
        <w:pStyle w:val="a3"/>
        <w:spacing w:after="0" w:line="360" w:lineRule="auto"/>
        <w:ind w:left="0" w:firstLine="567"/>
        <w:jc w:val="both"/>
        <w:rPr>
          <w:rFonts w:ascii="Times New Roman" w:hAnsi="Times New Roman"/>
          <w:sz w:val="24"/>
          <w:szCs w:val="24"/>
        </w:rPr>
      </w:pPr>
      <w:r w:rsidRPr="00141BED">
        <w:rPr>
          <w:rFonts w:ascii="Times New Roman" w:hAnsi="Times New Roman"/>
          <w:sz w:val="24"/>
          <w:szCs w:val="24"/>
        </w:rPr>
        <w:t xml:space="preserve">The chronologies obtained from cores from the fire drying area of trees that were exposed to fire have similar stages of changing the values of the annual ring width with similar ones for trees that were not damaged by fire. The identified similar stages of development of the analyzed pine forests are stable over time. </w:t>
      </w:r>
    </w:p>
    <w:p w:rsidR="00A820F1" w:rsidRPr="00141BED" w:rsidRDefault="00BE4B28" w:rsidP="00141BED">
      <w:pPr>
        <w:spacing w:after="0" w:line="360" w:lineRule="auto"/>
        <w:ind w:firstLine="567"/>
        <w:jc w:val="both"/>
        <w:rPr>
          <w:rFonts w:ascii="Times New Roman" w:hAnsi="Times New Roman"/>
          <w:sz w:val="24"/>
          <w:szCs w:val="24"/>
          <w:lang w:val="x-none"/>
        </w:rPr>
      </w:pPr>
      <w:r w:rsidRPr="00141BED">
        <w:rPr>
          <w:rFonts w:ascii="Times New Roman" w:hAnsi="Times New Roman"/>
          <w:sz w:val="24"/>
          <w:szCs w:val="24"/>
          <w:lang w:val="x-none" w:eastAsia="x-none"/>
        </w:rPr>
        <w:t>A comparative analysis of the tree-ring chronologies of pine stands traversed by forest fires with similar chronologies of pine forests that were not affected by the fire in "Semey ormany" SFNR shows that over the past 30 years, the chronologies are identical and similar to each other, which indicates the ability of pine trees to recover after fires.</w:t>
      </w:r>
    </w:p>
    <w:p w:rsidR="00A820F1" w:rsidRPr="00141BED" w:rsidRDefault="00A820F1" w:rsidP="00141BED">
      <w:pPr>
        <w:spacing w:after="0" w:line="360" w:lineRule="auto"/>
        <w:jc w:val="center"/>
        <w:rPr>
          <w:rFonts w:ascii="Times New Roman" w:hAnsi="Times New Roman"/>
          <w:noProof/>
          <w:sz w:val="24"/>
          <w:szCs w:val="24"/>
          <w:lang w:val="en-US" w:eastAsia="ru-RU"/>
        </w:rPr>
      </w:pPr>
    </w:p>
    <w:p w:rsidR="00A820F1" w:rsidRPr="00141BED" w:rsidRDefault="000C08FA" w:rsidP="001C4554">
      <w:pPr>
        <w:pStyle w:val="a3"/>
        <w:spacing w:after="0" w:line="360" w:lineRule="auto"/>
        <w:ind w:left="0"/>
        <w:jc w:val="both"/>
        <w:rPr>
          <w:rFonts w:ascii="Times New Roman" w:hAnsi="Times New Roman"/>
          <w:sz w:val="24"/>
          <w:szCs w:val="24"/>
        </w:rPr>
      </w:pPr>
      <w:r w:rsidRPr="00141BED">
        <w:rPr>
          <w:rFonts w:ascii="Times New Roman" w:hAnsi="Times New Roman"/>
          <w:noProof/>
          <w:sz w:val="24"/>
          <w:szCs w:val="24"/>
          <w:lang w:val="ru-RU" w:eastAsia="ru-RU"/>
        </w:rPr>
        <w:drawing>
          <wp:inline distT="0" distB="0" distL="0" distR="0" wp14:anchorId="3C554819" wp14:editId="2EBBC63E">
            <wp:extent cx="6046470" cy="218313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C0BDC" w:rsidRDefault="007C0BDC" w:rsidP="00141BED">
      <w:pPr>
        <w:pStyle w:val="a3"/>
        <w:spacing w:after="0" w:line="360" w:lineRule="auto"/>
        <w:ind w:left="0"/>
        <w:jc w:val="center"/>
        <w:rPr>
          <w:rFonts w:ascii="Times New Roman" w:hAnsi="Times New Roman"/>
          <w:sz w:val="24"/>
          <w:szCs w:val="24"/>
          <w:lang w:val="ru-RU"/>
        </w:rPr>
      </w:pPr>
    </w:p>
    <w:p w:rsidR="00087B49" w:rsidRPr="00141BED" w:rsidRDefault="00087B49" w:rsidP="00141BED">
      <w:pPr>
        <w:pStyle w:val="a3"/>
        <w:spacing w:after="0" w:line="360" w:lineRule="auto"/>
        <w:ind w:left="0"/>
        <w:jc w:val="center"/>
        <w:rPr>
          <w:rFonts w:ascii="Times New Roman" w:hAnsi="Times New Roman"/>
          <w:sz w:val="24"/>
          <w:szCs w:val="24"/>
        </w:rPr>
      </w:pPr>
      <w:r w:rsidRPr="00141BED">
        <w:rPr>
          <w:rFonts w:ascii="Times New Roman" w:hAnsi="Times New Roman"/>
          <w:sz w:val="24"/>
          <w:szCs w:val="24"/>
        </w:rPr>
        <w:t xml:space="preserve">Figure </w:t>
      </w:r>
      <w:r w:rsidR="007C0BDC" w:rsidRPr="007C0BDC">
        <w:rPr>
          <w:rFonts w:ascii="Times New Roman" w:hAnsi="Times New Roman"/>
          <w:sz w:val="24"/>
          <w:szCs w:val="24"/>
          <w:lang w:val="en-US"/>
        </w:rPr>
        <w:t>7</w:t>
      </w:r>
      <w:r w:rsidRPr="00141BED">
        <w:rPr>
          <w:rFonts w:ascii="Times New Roman" w:hAnsi="Times New Roman"/>
          <w:sz w:val="24"/>
          <w:szCs w:val="24"/>
        </w:rPr>
        <w:t xml:space="preserve"> – </w:t>
      </w:r>
      <w:r w:rsidRPr="00141BED">
        <w:rPr>
          <w:rFonts w:ascii="Times New Roman" w:hAnsi="Times New Roman"/>
          <w:sz w:val="24"/>
          <w:szCs w:val="24"/>
          <w:lang w:val="en-US"/>
        </w:rPr>
        <w:t>T</w:t>
      </w:r>
      <w:r w:rsidRPr="00141BED">
        <w:rPr>
          <w:rFonts w:ascii="Times New Roman" w:hAnsi="Times New Roman"/>
          <w:sz w:val="24"/>
          <w:szCs w:val="24"/>
        </w:rPr>
        <w:t xml:space="preserve">ree-ring chronologies of pine trees in pine stands on </w:t>
      </w:r>
      <w:r w:rsidRPr="00141BED">
        <w:rPr>
          <w:rFonts w:ascii="Times New Roman" w:hAnsi="Times New Roman"/>
          <w:sz w:val="24"/>
          <w:szCs w:val="24"/>
          <w:lang w:val="en-US"/>
        </w:rPr>
        <w:t>T</w:t>
      </w:r>
      <w:r w:rsidRPr="00141BED">
        <w:rPr>
          <w:rFonts w:ascii="Times New Roman" w:hAnsi="Times New Roman"/>
          <w:sz w:val="24"/>
          <w:szCs w:val="24"/>
        </w:rPr>
        <w:t xml:space="preserve">P-3 in </w:t>
      </w:r>
      <w:r w:rsidRPr="00141BED">
        <w:rPr>
          <w:rFonts w:ascii="Times New Roman" w:hAnsi="Times New Roman"/>
          <w:sz w:val="24"/>
          <w:szCs w:val="24"/>
          <w:lang w:val="en-US"/>
        </w:rPr>
        <w:t>the</w:t>
      </w:r>
      <w:r w:rsidRPr="00141BED">
        <w:rPr>
          <w:rFonts w:ascii="Times New Roman" w:hAnsi="Times New Roman"/>
          <w:sz w:val="24"/>
          <w:szCs w:val="24"/>
        </w:rPr>
        <w:t xml:space="preserve">  "Semey ormany"</w:t>
      </w:r>
      <w:r w:rsidRPr="00141BED">
        <w:rPr>
          <w:rFonts w:ascii="Times New Roman" w:hAnsi="Times New Roman"/>
          <w:sz w:val="24"/>
          <w:szCs w:val="24"/>
          <w:lang w:val="en-US"/>
        </w:rPr>
        <w:t xml:space="preserve"> SFNR</w:t>
      </w:r>
      <w:r w:rsidRPr="00141BED">
        <w:rPr>
          <w:rFonts w:ascii="Times New Roman" w:hAnsi="Times New Roman"/>
          <w:sz w:val="24"/>
          <w:szCs w:val="24"/>
        </w:rPr>
        <w:t>, passed by a forest fire</w:t>
      </w:r>
    </w:p>
    <w:p w:rsidR="00A820F1" w:rsidRPr="00141BED" w:rsidRDefault="00A820F1" w:rsidP="00141BED">
      <w:pPr>
        <w:pStyle w:val="a3"/>
        <w:spacing w:after="0" w:line="360" w:lineRule="auto"/>
        <w:ind w:left="0" w:firstLine="567"/>
        <w:jc w:val="both"/>
        <w:rPr>
          <w:rFonts w:ascii="Times New Roman" w:hAnsi="Times New Roman"/>
          <w:sz w:val="24"/>
          <w:szCs w:val="24"/>
        </w:rPr>
      </w:pPr>
    </w:p>
    <w:p w:rsidR="00A820F1" w:rsidRPr="00141BED" w:rsidRDefault="00830EC6" w:rsidP="00141BED">
      <w:pPr>
        <w:pStyle w:val="a3"/>
        <w:spacing w:after="0" w:line="360" w:lineRule="auto"/>
        <w:ind w:left="0" w:firstLine="567"/>
        <w:jc w:val="both"/>
        <w:rPr>
          <w:rFonts w:ascii="Times New Roman" w:hAnsi="Times New Roman"/>
          <w:sz w:val="24"/>
          <w:szCs w:val="24"/>
        </w:rPr>
      </w:pPr>
      <w:r w:rsidRPr="00141BED">
        <w:rPr>
          <w:rFonts w:ascii="Times New Roman" w:hAnsi="Times New Roman"/>
          <w:sz w:val="24"/>
          <w:szCs w:val="24"/>
        </w:rPr>
        <w:t>At the same time, the taxation characteristics of trees (age, diameter, height of trees and their condition before the impact of forest fires) are of great importance, which play a huge role in assessing the degree of stability of stands under the influence of forest fires.</w:t>
      </w:r>
    </w:p>
    <w:p w:rsidR="007C0BDC" w:rsidRPr="001C4554" w:rsidRDefault="007C0BDC" w:rsidP="00141BED">
      <w:pPr>
        <w:spacing w:after="0" w:line="360" w:lineRule="auto"/>
        <w:ind w:firstLine="567"/>
        <w:jc w:val="both"/>
        <w:rPr>
          <w:rFonts w:ascii="Times New Roman" w:hAnsi="Times New Roman"/>
          <w:b/>
          <w:sz w:val="24"/>
          <w:szCs w:val="24"/>
          <w:lang w:val="en-US" w:eastAsia="x-none"/>
        </w:rPr>
      </w:pPr>
    </w:p>
    <w:p w:rsidR="00830EC6" w:rsidRPr="001C4554" w:rsidRDefault="00830EC6" w:rsidP="00141BED">
      <w:pPr>
        <w:spacing w:after="0" w:line="360" w:lineRule="auto"/>
        <w:ind w:firstLine="567"/>
        <w:jc w:val="both"/>
        <w:rPr>
          <w:rFonts w:ascii="Times New Roman" w:hAnsi="Times New Roman"/>
          <w:b/>
          <w:sz w:val="24"/>
          <w:szCs w:val="24"/>
          <w:lang w:val="en-US" w:eastAsia="x-none"/>
        </w:rPr>
      </w:pPr>
      <w:r w:rsidRPr="001C4554">
        <w:rPr>
          <w:rFonts w:ascii="Times New Roman" w:hAnsi="Times New Roman"/>
          <w:b/>
          <w:sz w:val="24"/>
          <w:szCs w:val="24"/>
          <w:lang w:val="en-US" w:eastAsia="x-none"/>
        </w:rPr>
        <w:t>3.3 Assessment of the impact of tending felling of various intensities on the dynamics of annual radial growth of Scots pine using tree-ring chronologies</w:t>
      </w:r>
    </w:p>
    <w:p w:rsidR="007C0BDC" w:rsidRPr="00AB5692" w:rsidRDefault="007C0BDC" w:rsidP="00141BED">
      <w:pPr>
        <w:spacing w:after="0" w:line="360" w:lineRule="auto"/>
        <w:ind w:firstLine="567"/>
        <w:jc w:val="both"/>
        <w:rPr>
          <w:rFonts w:ascii="Times New Roman" w:hAnsi="Times New Roman"/>
          <w:sz w:val="24"/>
          <w:szCs w:val="24"/>
          <w:lang w:val="en-US" w:eastAsia="x-none"/>
        </w:rPr>
      </w:pPr>
    </w:p>
    <w:p w:rsidR="00A820F1" w:rsidRPr="00141BED" w:rsidRDefault="0087356B" w:rsidP="00141BED">
      <w:pPr>
        <w:spacing w:after="0" w:line="360" w:lineRule="auto"/>
        <w:ind w:firstLine="567"/>
        <w:jc w:val="both"/>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The objects of research in the "Burabay" SNNP are represented by pure, single-aged, high-density pine forests of the VI class of age of natural origin. Dry pine forests ' productivity class is IV-V. In the "Semey ormany" SFNR stands, the test plot was laid in pure forest crops of the III age class. Productivity class is II-IV. Plantings without carrying out forest management measures used as a control.</w:t>
      </w:r>
    </w:p>
    <w:p w:rsidR="002F5A87" w:rsidRPr="00141BED" w:rsidRDefault="007616FB" w:rsidP="002F5A87">
      <w:pPr>
        <w:pStyle w:val="a3"/>
        <w:spacing w:after="0" w:line="360" w:lineRule="auto"/>
        <w:ind w:left="0" w:firstLine="567"/>
        <w:jc w:val="both"/>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Table 2 shows the taxation characteristics of plantings, where the control sections are the K-5 section in the "Burabay" SNNP and the TP-2 section in the "Semey ormany" SFNR.</w:t>
      </w:r>
      <w:r w:rsidR="002F5A87" w:rsidRPr="002F5A87">
        <w:rPr>
          <w:rFonts w:ascii="Times New Roman" w:eastAsia="Times New Roman" w:hAnsi="Times New Roman"/>
          <w:sz w:val="24"/>
          <w:szCs w:val="24"/>
          <w:lang w:val="en-US" w:eastAsia="ru-RU"/>
        </w:rPr>
        <w:t xml:space="preserve"> </w:t>
      </w:r>
      <w:r w:rsidR="002F5A87" w:rsidRPr="00141BED">
        <w:rPr>
          <w:rFonts w:ascii="Times New Roman" w:eastAsia="Times New Roman" w:hAnsi="Times New Roman"/>
          <w:sz w:val="24"/>
          <w:szCs w:val="24"/>
          <w:lang w:val="en-US" w:eastAsia="ru-RU"/>
        </w:rPr>
        <w:t>Assessment of the vital state of pine forests identified stands in the “Burabay” SNNP and "Semey ormany" SFNR as "weakened" (36.1-60.5% and 53.9-75.3%, respectively).</w:t>
      </w:r>
      <w:r w:rsidR="002F5A87" w:rsidRPr="002F5A87">
        <w:rPr>
          <w:rFonts w:ascii="Times New Roman" w:eastAsia="Times New Roman" w:hAnsi="Times New Roman"/>
          <w:sz w:val="24"/>
          <w:szCs w:val="24"/>
          <w:lang w:val="en-US" w:eastAsia="ru-RU"/>
        </w:rPr>
        <w:t xml:space="preserve"> </w:t>
      </w:r>
      <w:r w:rsidR="002F5A87" w:rsidRPr="00141BED">
        <w:rPr>
          <w:rFonts w:ascii="Times New Roman" w:eastAsia="Times New Roman" w:hAnsi="Times New Roman"/>
          <w:sz w:val="24"/>
          <w:szCs w:val="24"/>
          <w:lang w:val="en-US" w:eastAsia="ru-RU"/>
        </w:rPr>
        <w:t xml:space="preserve">At TP 7-5 in the "Burabay" SNNP, </w:t>
      </w:r>
      <w:hyperlink r:id="rId20" w:history="1">
        <w:r w:rsidR="002F5A87" w:rsidRPr="00141BED">
          <w:rPr>
            <w:rFonts w:ascii="Times New Roman" w:hAnsi="Times New Roman"/>
            <w:sz w:val="24"/>
            <w:szCs w:val="24"/>
            <w:lang w:val="en-US"/>
          </w:rPr>
          <w:t>tending felling</w:t>
        </w:r>
      </w:hyperlink>
      <w:r w:rsidR="002F5A87" w:rsidRPr="00141BED">
        <w:rPr>
          <w:rFonts w:ascii="Times New Roman" w:eastAsia="Times New Roman" w:hAnsi="Times New Roman"/>
          <w:sz w:val="24"/>
          <w:szCs w:val="24"/>
          <w:lang w:val="en-US" w:eastAsia="ru-RU"/>
        </w:rPr>
        <w:t xml:space="preserve"> was carried out in 5 stages with a strong intensity, at TP-1 in the "Semey ormany" SFNR, </w:t>
      </w:r>
      <w:hyperlink r:id="rId21" w:history="1">
        <w:r w:rsidR="002F5A87" w:rsidRPr="00141BED">
          <w:rPr>
            <w:rFonts w:ascii="Times New Roman" w:hAnsi="Times New Roman"/>
            <w:sz w:val="24"/>
            <w:szCs w:val="24"/>
            <w:lang w:val="en-US"/>
          </w:rPr>
          <w:t>tending felling</w:t>
        </w:r>
      </w:hyperlink>
      <w:r w:rsidR="002F5A87" w:rsidRPr="00141BED">
        <w:rPr>
          <w:rFonts w:ascii="Times New Roman" w:eastAsia="Times New Roman" w:hAnsi="Times New Roman"/>
          <w:sz w:val="24"/>
          <w:szCs w:val="24"/>
          <w:lang w:val="en-US" w:eastAsia="ru-RU"/>
        </w:rPr>
        <w:t xml:space="preserve"> was carried out once, in 2010.</w:t>
      </w:r>
    </w:p>
    <w:p w:rsidR="00F72F06" w:rsidRPr="00141BED" w:rsidRDefault="00F72F06" w:rsidP="00141BED">
      <w:pPr>
        <w:spacing w:after="0" w:line="360" w:lineRule="auto"/>
        <w:jc w:val="both"/>
        <w:rPr>
          <w:rFonts w:ascii="Times New Roman" w:hAnsi="Times New Roman"/>
          <w:sz w:val="24"/>
          <w:szCs w:val="24"/>
          <w:lang w:val="en-US"/>
        </w:rPr>
      </w:pPr>
    </w:p>
    <w:p w:rsidR="002F5A87" w:rsidRDefault="002F5A87">
      <w:pPr>
        <w:spacing w:after="160" w:line="259" w:lineRule="auto"/>
        <w:rPr>
          <w:rFonts w:ascii="Times New Roman" w:hAnsi="Times New Roman"/>
          <w:sz w:val="24"/>
          <w:szCs w:val="24"/>
          <w:lang w:val="en-US"/>
        </w:rPr>
      </w:pPr>
      <w:r>
        <w:rPr>
          <w:rFonts w:ascii="Times New Roman" w:hAnsi="Times New Roman"/>
          <w:sz w:val="24"/>
          <w:szCs w:val="24"/>
          <w:lang w:val="en-US"/>
        </w:rPr>
        <w:br w:type="page"/>
      </w:r>
    </w:p>
    <w:p w:rsidR="00A820F1" w:rsidRPr="00141BED" w:rsidRDefault="00A57D42"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lastRenderedPageBreak/>
        <w:t>Table 2 - Taxation characteristics of the studied pine stands</w:t>
      </w:r>
      <w:r w:rsidR="00A820F1" w:rsidRPr="00141BED">
        <w:rPr>
          <w:rFonts w:ascii="Times New Roman" w:hAnsi="Times New Roman"/>
          <w:sz w:val="24"/>
          <w:szCs w:val="24"/>
          <w:lang w:val="en-US"/>
        </w:rPr>
        <w:t xml:space="preserve"> </w:t>
      </w:r>
    </w:p>
    <w:tbl>
      <w:tblPr>
        <w:tblW w:w="944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708"/>
        <w:gridCol w:w="566"/>
        <w:gridCol w:w="707"/>
        <w:gridCol w:w="709"/>
        <w:gridCol w:w="709"/>
        <w:gridCol w:w="696"/>
        <w:gridCol w:w="774"/>
        <w:gridCol w:w="713"/>
        <w:gridCol w:w="709"/>
        <w:gridCol w:w="568"/>
        <w:gridCol w:w="709"/>
        <w:gridCol w:w="1065"/>
        <w:gridCol w:w="7"/>
      </w:tblGrid>
      <w:tr w:rsidR="00141BED" w:rsidRPr="007C0BDC" w:rsidTr="00165AA4">
        <w:trPr>
          <w:gridAfter w:val="1"/>
          <w:wAfter w:w="7" w:type="dxa"/>
          <w:trHeight w:val="434"/>
          <w:jc w:val="center"/>
        </w:trPr>
        <w:tc>
          <w:tcPr>
            <w:tcW w:w="808" w:type="dxa"/>
            <w:vMerge w:val="restart"/>
            <w:vAlign w:val="center"/>
          </w:tcPr>
          <w:p w:rsidR="00E304FA" w:rsidRPr="007C0BDC" w:rsidRDefault="00E304FA" w:rsidP="007C0BDC">
            <w:pPr>
              <w:spacing w:after="0" w:line="240" w:lineRule="auto"/>
              <w:ind w:firstLine="8"/>
              <w:jc w:val="center"/>
              <w:rPr>
                <w:rFonts w:ascii="Times New Roman" w:hAnsi="Times New Roman"/>
                <w:lang w:val="en-US"/>
              </w:rPr>
            </w:pPr>
            <w:r w:rsidRPr="007C0BDC">
              <w:rPr>
                <w:rFonts w:ascii="Times New Roman" w:hAnsi="Times New Roman"/>
              </w:rPr>
              <w:t xml:space="preserve">№ </w:t>
            </w:r>
            <w:r w:rsidRPr="007C0BDC">
              <w:rPr>
                <w:rFonts w:ascii="Times New Roman" w:hAnsi="Times New Roman"/>
                <w:lang w:val="en-US"/>
              </w:rPr>
              <w:t>of section</w:t>
            </w:r>
          </w:p>
          <w:p w:rsidR="00E304FA" w:rsidRPr="007C0BDC" w:rsidRDefault="00E304FA" w:rsidP="007C0BDC">
            <w:pPr>
              <w:spacing w:after="0" w:line="240" w:lineRule="auto"/>
              <w:ind w:firstLine="8"/>
              <w:jc w:val="center"/>
              <w:rPr>
                <w:rFonts w:ascii="Times New Roman" w:hAnsi="Times New Roman"/>
              </w:rPr>
            </w:pPr>
            <w:r w:rsidRPr="007C0BDC">
              <w:rPr>
                <w:rFonts w:ascii="Times New Roman" w:hAnsi="Times New Roman"/>
              </w:rPr>
              <w:t>(№</w:t>
            </w:r>
            <w:r w:rsidRPr="007C0BDC">
              <w:rPr>
                <w:rFonts w:ascii="Times New Roman" w:hAnsi="Times New Roman"/>
                <w:lang w:val="en-US"/>
              </w:rPr>
              <w:t>TP</w:t>
            </w:r>
            <w:r w:rsidRPr="007C0BDC">
              <w:rPr>
                <w:rFonts w:ascii="Times New Roman" w:hAnsi="Times New Roman"/>
              </w:rPr>
              <w:t>)</w:t>
            </w:r>
          </w:p>
        </w:tc>
        <w:tc>
          <w:tcPr>
            <w:tcW w:w="708" w:type="dxa"/>
            <w:vMerge w:val="restart"/>
            <w:vAlign w:val="center"/>
          </w:tcPr>
          <w:p w:rsidR="00E304FA" w:rsidRPr="007C0BDC" w:rsidRDefault="00E304FA" w:rsidP="007C0BDC">
            <w:pPr>
              <w:spacing w:after="0" w:line="240" w:lineRule="auto"/>
              <w:ind w:firstLine="8"/>
              <w:jc w:val="center"/>
              <w:rPr>
                <w:rFonts w:ascii="Times New Roman" w:hAnsi="Times New Roman"/>
              </w:rPr>
            </w:pPr>
            <w:r w:rsidRPr="007C0BDC">
              <w:rPr>
                <w:rFonts w:ascii="Times New Roman" w:hAnsi="Times New Roman"/>
              </w:rPr>
              <w:t>Composition</w:t>
            </w:r>
          </w:p>
        </w:tc>
        <w:tc>
          <w:tcPr>
            <w:tcW w:w="566" w:type="dxa"/>
            <w:vMerge w:val="restart"/>
            <w:vAlign w:val="center"/>
          </w:tcPr>
          <w:p w:rsidR="00E304FA" w:rsidRPr="007C0BDC" w:rsidRDefault="00E304FA" w:rsidP="007C0BDC">
            <w:pPr>
              <w:spacing w:after="0" w:line="240" w:lineRule="auto"/>
              <w:ind w:firstLine="8"/>
              <w:jc w:val="center"/>
              <w:rPr>
                <w:rFonts w:ascii="Times New Roman" w:hAnsi="Times New Roman"/>
              </w:rPr>
            </w:pPr>
            <w:r w:rsidRPr="007C0BDC">
              <w:rPr>
                <w:rFonts w:ascii="Times New Roman" w:hAnsi="Times New Roman"/>
              </w:rPr>
              <w:t>Age class</w:t>
            </w:r>
          </w:p>
        </w:tc>
        <w:tc>
          <w:tcPr>
            <w:tcW w:w="1416" w:type="dxa"/>
            <w:gridSpan w:val="2"/>
            <w:vAlign w:val="center"/>
          </w:tcPr>
          <w:p w:rsidR="00E304FA" w:rsidRPr="007C0BDC" w:rsidRDefault="00E304FA" w:rsidP="007C0BDC">
            <w:pPr>
              <w:spacing w:after="0" w:line="240" w:lineRule="auto"/>
              <w:ind w:firstLine="8"/>
              <w:jc w:val="center"/>
              <w:rPr>
                <w:rFonts w:ascii="Times New Roman" w:hAnsi="Times New Roman"/>
              </w:rPr>
            </w:pPr>
            <w:r w:rsidRPr="007C0BDC">
              <w:rPr>
                <w:rFonts w:ascii="Times New Roman" w:hAnsi="Times New Roman"/>
                <w:lang w:val="en-US"/>
              </w:rPr>
              <w:t>average</w:t>
            </w:r>
          </w:p>
        </w:tc>
        <w:tc>
          <w:tcPr>
            <w:tcW w:w="1405" w:type="dxa"/>
            <w:gridSpan w:val="2"/>
            <w:vMerge w:val="restart"/>
            <w:vAlign w:val="center"/>
          </w:tcPr>
          <w:p w:rsidR="00E304FA" w:rsidRPr="007C0BDC" w:rsidRDefault="00E304FA" w:rsidP="007C0BDC">
            <w:pPr>
              <w:spacing w:after="0" w:line="240" w:lineRule="auto"/>
              <w:ind w:firstLine="8"/>
              <w:jc w:val="center"/>
              <w:rPr>
                <w:rFonts w:ascii="Times New Roman" w:hAnsi="Times New Roman"/>
              </w:rPr>
            </w:pPr>
            <w:r w:rsidRPr="007C0BDC">
              <w:rPr>
                <w:rFonts w:ascii="Times New Roman" w:hAnsi="Times New Roman"/>
              </w:rPr>
              <w:t>density, specimens/ha</w:t>
            </w:r>
          </w:p>
        </w:tc>
        <w:tc>
          <w:tcPr>
            <w:tcW w:w="1487" w:type="dxa"/>
            <w:gridSpan w:val="2"/>
            <w:vAlign w:val="center"/>
          </w:tcPr>
          <w:p w:rsidR="00E304FA" w:rsidRPr="007C0BDC" w:rsidRDefault="00E304FA" w:rsidP="007C0BDC">
            <w:pPr>
              <w:spacing w:after="0" w:line="240" w:lineRule="auto"/>
              <w:ind w:firstLine="8"/>
              <w:jc w:val="center"/>
              <w:rPr>
                <w:rFonts w:ascii="Times New Roman" w:hAnsi="Times New Roman"/>
              </w:rPr>
            </w:pPr>
            <w:r w:rsidRPr="007C0BDC">
              <w:rPr>
                <w:rFonts w:ascii="Times New Roman" w:hAnsi="Times New Roman"/>
              </w:rPr>
              <w:t>Completeness</w:t>
            </w:r>
          </w:p>
        </w:tc>
        <w:tc>
          <w:tcPr>
            <w:tcW w:w="1277" w:type="dxa"/>
            <w:gridSpan w:val="2"/>
            <w:vMerge w:val="restart"/>
            <w:vAlign w:val="center"/>
          </w:tcPr>
          <w:p w:rsidR="00E304FA" w:rsidRPr="007C0BDC" w:rsidRDefault="00E304FA" w:rsidP="007C0BDC">
            <w:pPr>
              <w:spacing w:after="0" w:line="240" w:lineRule="auto"/>
              <w:ind w:firstLine="8"/>
              <w:jc w:val="center"/>
              <w:rPr>
                <w:rFonts w:ascii="Times New Roman" w:hAnsi="Times New Roman"/>
              </w:rPr>
            </w:pPr>
            <w:r w:rsidRPr="007C0BDC">
              <w:rPr>
                <w:rFonts w:ascii="Times New Roman" w:hAnsi="Times New Roman"/>
                <w:lang w:val="en-US"/>
              </w:rPr>
              <w:t>Stock</w:t>
            </w:r>
            <w:r w:rsidRPr="007C0BDC">
              <w:rPr>
                <w:rFonts w:ascii="Times New Roman" w:hAnsi="Times New Roman"/>
              </w:rPr>
              <w:t xml:space="preserve">, </w:t>
            </w:r>
            <w:r w:rsidRPr="007C0BDC">
              <w:rPr>
                <w:rFonts w:ascii="Times New Roman" w:hAnsi="Times New Roman"/>
                <w:lang w:val="en-US"/>
              </w:rPr>
              <w:t>m</w:t>
            </w:r>
            <w:r w:rsidRPr="007C0BDC">
              <w:rPr>
                <w:rFonts w:ascii="Times New Roman" w:hAnsi="Times New Roman"/>
                <w:vertAlign w:val="superscript"/>
              </w:rPr>
              <w:t>3</w:t>
            </w:r>
            <w:r w:rsidRPr="007C0BDC">
              <w:rPr>
                <w:rFonts w:ascii="Times New Roman" w:hAnsi="Times New Roman"/>
              </w:rPr>
              <w:t>/hа</w:t>
            </w:r>
          </w:p>
        </w:tc>
        <w:tc>
          <w:tcPr>
            <w:tcW w:w="709" w:type="dxa"/>
            <w:vMerge w:val="restart"/>
            <w:vAlign w:val="center"/>
          </w:tcPr>
          <w:p w:rsidR="00E304FA" w:rsidRPr="007C0BDC" w:rsidRDefault="00E304FA" w:rsidP="007C0BDC">
            <w:pPr>
              <w:spacing w:after="0" w:line="240" w:lineRule="auto"/>
              <w:ind w:firstLine="8"/>
              <w:jc w:val="center"/>
              <w:rPr>
                <w:rFonts w:ascii="Times New Roman" w:hAnsi="Times New Roman"/>
              </w:rPr>
            </w:pPr>
            <w:r w:rsidRPr="007C0BDC">
              <w:rPr>
                <w:rFonts w:ascii="Times New Roman" w:hAnsi="Times New Roman"/>
                <w:lang w:val="en-US"/>
              </w:rPr>
              <w:t>Productivity class</w:t>
            </w:r>
          </w:p>
        </w:tc>
        <w:tc>
          <w:tcPr>
            <w:tcW w:w="1065" w:type="dxa"/>
            <w:vMerge w:val="restart"/>
            <w:vAlign w:val="center"/>
          </w:tcPr>
          <w:p w:rsidR="00E304FA" w:rsidRPr="007C0BDC" w:rsidRDefault="00E304FA" w:rsidP="007C0BDC">
            <w:pPr>
              <w:spacing w:after="0" w:line="240" w:lineRule="auto"/>
              <w:ind w:firstLine="8"/>
              <w:jc w:val="center"/>
              <w:rPr>
                <w:rFonts w:ascii="Times New Roman" w:hAnsi="Times New Roman"/>
              </w:rPr>
            </w:pPr>
            <w:r w:rsidRPr="007C0BDC">
              <w:rPr>
                <w:rFonts w:ascii="Times New Roman" w:hAnsi="Times New Roman"/>
                <w:lang w:val="en-US"/>
              </w:rPr>
              <w:t>AVS, %</w:t>
            </w:r>
          </w:p>
        </w:tc>
      </w:tr>
      <w:tr w:rsidR="00141BED" w:rsidRPr="007C0BDC" w:rsidTr="00165AA4">
        <w:trPr>
          <w:gridAfter w:val="1"/>
          <w:wAfter w:w="7" w:type="dxa"/>
          <w:trHeight w:val="414"/>
          <w:jc w:val="center"/>
        </w:trPr>
        <w:tc>
          <w:tcPr>
            <w:tcW w:w="808" w:type="dxa"/>
            <w:vMerge/>
            <w:vAlign w:val="center"/>
          </w:tcPr>
          <w:p w:rsidR="00E304FA" w:rsidRPr="007C0BDC" w:rsidRDefault="00E304FA" w:rsidP="007C0BDC">
            <w:pPr>
              <w:spacing w:after="0" w:line="240" w:lineRule="auto"/>
              <w:jc w:val="center"/>
              <w:rPr>
                <w:rFonts w:ascii="Times New Roman" w:hAnsi="Times New Roman"/>
              </w:rPr>
            </w:pPr>
          </w:p>
        </w:tc>
        <w:tc>
          <w:tcPr>
            <w:tcW w:w="708" w:type="dxa"/>
            <w:vMerge/>
            <w:vAlign w:val="center"/>
          </w:tcPr>
          <w:p w:rsidR="00E304FA" w:rsidRPr="007C0BDC" w:rsidRDefault="00E304FA" w:rsidP="007C0BDC">
            <w:pPr>
              <w:spacing w:after="0" w:line="240" w:lineRule="auto"/>
              <w:jc w:val="center"/>
              <w:rPr>
                <w:rFonts w:ascii="Times New Roman" w:hAnsi="Times New Roman"/>
              </w:rPr>
            </w:pPr>
          </w:p>
        </w:tc>
        <w:tc>
          <w:tcPr>
            <w:tcW w:w="566" w:type="dxa"/>
            <w:vMerge/>
            <w:vAlign w:val="center"/>
          </w:tcPr>
          <w:p w:rsidR="00E304FA" w:rsidRPr="007C0BDC" w:rsidRDefault="00E304FA" w:rsidP="007C0BDC">
            <w:pPr>
              <w:spacing w:after="0" w:line="240" w:lineRule="auto"/>
              <w:jc w:val="center"/>
              <w:rPr>
                <w:rFonts w:ascii="Times New Roman" w:hAnsi="Times New Roman"/>
              </w:rPr>
            </w:pPr>
          </w:p>
        </w:tc>
        <w:tc>
          <w:tcPr>
            <w:tcW w:w="707" w:type="dxa"/>
            <w:vMerge w:val="restart"/>
            <w:vAlign w:val="center"/>
          </w:tcPr>
          <w:p w:rsidR="00E304FA" w:rsidRPr="007C0BDC" w:rsidRDefault="00E304FA" w:rsidP="007C0BDC">
            <w:pPr>
              <w:spacing w:after="0" w:line="240" w:lineRule="auto"/>
              <w:jc w:val="center"/>
              <w:rPr>
                <w:rFonts w:ascii="Times New Roman" w:hAnsi="Times New Roman"/>
                <w:lang w:val="en-US"/>
              </w:rPr>
            </w:pPr>
            <w:r w:rsidRPr="007C0BDC">
              <w:rPr>
                <w:rFonts w:ascii="Times New Roman" w:hAnsi="Times New Roman"/>
              </w:rPr>
              <w:t xml:space="preserve">height (Н), </w:t>
            </w:r>
            <w:r w:rsidRPr="007C0BDC">
              <w:rPr>
                <w:rFonts w:ascii="Times New Roman" w:hAnsi="Times New Roman"/>
                <w:lang w:val="en-US"/>
              </w:rPr>
              <w:t>m</w:t>
            </w:r>
          </w:p>
        </w:tc>
        <w:tc>
          <w:tcPr>
            <w:tcW w:w="709" w:type="dxa"/>
            <w:vMerge w:val="restart"/>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diameter (</w:t>
            </w:r>
            <w:r w:rsidRPr="007C0BDC">
              <w:rPr>
                <w:rFonts w:ascii="Times New Roman" w:hAnsi="Times New Roman"/>
                <w:lang w:val="en-US"/>
              </w:rPr>
              <w:t>D</w:t>
            </w:r>
            <w:r w:rsidRPr="007C0BDC">
              <w:rPr>
                <w:rFonts w:ascii="Times New Roman" w:hAnsi="Times New Roman"/>
              </w:rPr>
              <w:t>),</w:t>
            </w:r>
          </w:p>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с</w:t>
            </w:r>
            <w:proofErr w:type="gramStart"/>
            <w:r w:rsidRPr="007C0BDC">
              <w:rPr>
                <w:rFonts w:ascii="Times New Roman" w:hAnsi="Times New Roman"/>
              </w:rPr>
              <w:t>m</w:t>
            </w:r>
            <w:proofErr w:type="gramEnd"/>
          </w:p>
        </w:tc>
        <w:tc>
          <w:tcPr>
            <w:tcW w:w="1405" w:type="dxa"/>
            <w:gridSpan w:val="2"/>
            <w:vMerge/>
            <w:vAlign w:val="center"/>
          </w:tcPr>
          <w:p w:rsidR="00E304FA" w:rsidRPr="007C0BDC" w:rsidRDefault="00E304FA" w:rsidP="007C0BDC">
            <w:pPr>
              <w:spacing w:after="0" w:line="240" w:lineRule="auto"/>
              <w:jc w:val="center"/>
              <w:rPr>
                <w:rFonts w:ascii="Times New Roman" w:hAnsi="Times New Roman"/>
              </w:rPr>
            </w:pPr>
          </w:p>
        </w:tc>
        <w:tc>
          <w:tcPr>
            <w:tcW w:w="774" w:type="dxa"/>
            <w:vMerge w:val="restart"/>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absolute, m</w:t>
            </w:r>
            <w:r w:rsidRPr="007C0BDC">
              <w:rPr>
                <w:rFonts w:ascii="Times New Roman" w:hAnsi="Times New Roman"/>
                <w:vertAlign w:val="superscript"/>
              </w:rPr>
              <w:t>2</w:t>
            </w:r>
            <w:r w:rsidRPr="007C0BDC">
              <w:rPr>
                <w:rFonts w:ascii="Times New Roman" w:hAnsi="Times New Roman"/>
              </w:rPr>
              <w:t>/ha</w:t>
            </w:r>
          </w:p>
        </w:tc>
        <w:tc>
          <w:tcPr>
            <w:tcW w:w="713" w:type="dxa"/>
            <w:vMerge w:val="restart"/>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relative (P)</w:t>
            </w:r>
          </w:p>
        </w:tc>
        <w:tc>
          <w:tcPr>
            <w:tcW w:w="1277" w:type="dxa"/>
            <w:gridSpan w:val="2"/>
            <w:vMerge/>
            <w:vAlign w:val="center"/>
          </w:tcPr>
          <w:p w:rsidR="00E304FA" w:rsidRPr="007C0BDC" w:rsidRDefault="00E304FA" w:rsidP="007C0BDC">
            <w:pPr>
              <w:spacing w:after="0" w:line="240" w:lineRule="auto"/>
              <w:jc w:val="center"/>
              <w:rPr>
                <w:rFonts w:ascii="Times New Roman" w:hAnsi="Times New Roman"/>
              </w:rPr>
            </w:pPr>
          </w:p>
        </w:tc>
        <w:tc>
          <w:tcPr>
            <w:tcW w:w="709" w:type="dxa"/>
            <w:vMerge/>
            <w:vAlign w:val="center"/>
          </w:tcPr>
          <w:p w:rsidR="00E304FA" w:rsidRPr="007C0BDC" w:rsidRDefault="00E304FA" w:rsidP="007C0BDC">
            <w:pPr>
              <w:spacing w:after="0" w:line="240" w:lineRule="auto"/>
              <w:jc w:val="center"/>
              <w:rPr>
                <w:rFonts w:ascii="Times New Roman" w:hAnsi="Times New Roman"/>
              </w:rPr>
            </w:pPr>
          </w:p>
        </w:tc>
        <w:tc>
          <w:tcPr>
            <w:tcW w:w="1065" w:type="dxa"/>
            <w:vMerge/>
            <w:vAlign w:val="center"/>
          </w:tcPr>
          <w:p w:rsidR="00E304FA" w:rsidRPr="007C0BDC" w:rsidRDefault="00E304FA" w:rsidP="007C0BDC">
            <w:pPr>
              <w:spacing w:after="0" w:line="240" w:lineRule="auto"/>
              <w:jc w:val="center"/>
              <w:rPr>
                <w:rFonts w:ascii="Times New Roman" w:hAnsi="Times New Roman"/>
              </w:rPr>
            </w:pPr>
          </w:p>
        </w:tc>
      </w:tr>
      <w:tr w:rsidR="00141BED" w:rsidRPr="007C0BDC" w:rsidTr="00165AA4">
        <w:trPr>
          <w:gridAfter w:val="1"/>
          <w:wAfter w:w="7" w:type="dxa"/>
          <w:trHeight w:val="581"/>
          <w:jc w:val="center"/>
        </w:trPr>
        <w:tc>
          <w:tcPr>
            <w:tcW w:w="808" w:type="dxa"/>
            <w:vMerge/>
            <w:vAlign w:val="center"/>
          </w:tcPr>
          <w:p w:rsidR="00E304FA" w:rsidRPr="007C0BDC" w:rsidRDefault="00E304FA" w:rsidP="007C0BDC">
            <w:pPr>
              <w:spacing w:after="0" w:line="240" w:lineRule="auto"/>
              <w:jc w:val="center"/>
              <w:rPr>
                <w:rFonts w:ascii="Times New Roman" w:hAnsi="Times New Roman"/>
              </w:rPr>
            </w:pPr>
          </w:p>
        </w:tc>
        <w:tc>
          <w:tcPr>
            <w:tcW w:w="708" w:type="dxa"/>
            <w:vMerge/>
            <w:vAlign w:val="center"/>
          </w:tcPr>
          <w:p w:rsidR="00E304FA" w:rsidRPr="007C0BDC" w:rsidRDefault="00E304FA" w:rsidP="007C0BDC">
            <w:pPr>
              <w:spacing w:after="0" w:line="240" w:lineRule="auto"/>
              <w:jc w:val="center"/>
              <w:rPr>
                <w:rFonts w:ascii="Times New Roman" w:hAnsi="Times New Roman"/>
              </w:rPr>
            </w:pPr>
          </w:p>
        </w:tc>
        <w:tc>
          <w:tcPr>
            <w:tcW w:w="566" w:type="dxa"/>
            <w:vMerge/>
            <w:vAlign w:val="center"/>
          </w:tcPr>
          <w:p w:rsidR="00E304FA" w:rsidRPr="007C0BDC" w:rsidRDefault="00E304FA" w:rsidP="007C0BDC">
            <w:pPr>
              <w:spacing w:after="0" w:line="240" w:lineRule="auto"/>
              <w:jc w:val="center"/>
              <w:rPr>
                <w:rFonts w:ascii="Times New Roman" w:hAnsi="Times New Roman"/>
              </w:rPr>
            </w:pPr>
          </w:p>
        </w:tc>
        <w:tc>
          <w:tcPr>
            <w:tcW w:w="707" w:type="dxa"/>
            <w:vMerge/>
            <w:vAlign w:val="center"/>
          </w:tcPr>
          <w:p w:rsidR="00E304FA" w:rsidRPr="007C0BDC" w:rsidRDefault="00E304FA" w:rsidP="007C0BDC">
            <w:pPr>
              <w:spacing w:after="0" w:line="240" w:lineRule="auto"/>
              <w:jc w:val="center"/>
              <w:rPr>
                <w:rFonts w:ascii="Times New Roman" w:hAnsi="Times New Roman"/>
              </w:rPr>
            </w:pPr>
          </w:p>
        </w:tc>
        <w:tc>
          <w:tcPr>
            <w:tcW w:w="709" w:type="dxa"/>
            <w:vMerge/>
            <w:vAlign w:val="center"/>
          </w:tcPr>
          <w:p w:rsidR="00E304FA" w:rsidRPr="007C0BDC" w:rsidRDefault="00E304FA" w:rsidP="007C0BDC">
            <w:pPr>
              <w:spacing w:after="0" w:line="240" w:lineRule="auto"/>
              <w:jc w:val="center"/>
              <w:rPr>
                <w:rFonts w:ascii="Times New Roman" w:hAnsi="Times New Roman"/>
              </w:rPr>
            </w:pP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green-growing</w:t>
            </w:r>
          </w:p>
        </w:tc>
        <w:tc>
          <w:tcPr>
            <w:tcW w:w="696"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dead standing tree</w:t>
            </w:r>
          </w:p>
        </w:tc>
        <w:tc>
          <w:tcPr>
            <w:tcW w:w="774" w:type="dxa"/>
            <w:vMerge/>
            <w:vAlign w:val="center"/>
          </w:tcPr>
          <w:p w:rsidR="00E304FA" w:rsidRPr="007C0BDC" w:rsidRDefault="00E304FA" w:rsidP="007C0BDC">
            <w:pPr>
              <w:spacing w:after="0" w:line="240" w:lineRule="auto"/>
              <w:jc w:val="center"/>
              <w:rPr>
                <w:rFonts w:ascii="Times New Roman" w:hAnsi="Times New Roman"/>
              </w:rPr>
            </w:pPr>
          </w:p>
        </w:tc>
        <w:tc>
          <w:tcPr>
            <w:tcW w:w="713" w:type="dxa"/>
            <w:vMerge/>
            <w:vAlign w:val="center"/>
          </w:tcPr>
          <w:p w:rsidR="00E304FA" w:rsidRPr="007C0BDC" w:rsidRDefault="00E304FA" w:rsidP="007C0BDC">
            <w:pPr>
              <w:spacing w:after="0" w:line="240" w:lineRule="auto"/>
              <w:jc w:val="center"/>
              <w:rPr>
                <w:rFonts w:ascii="Times New Roman" w:hAnsi="Times New Roman"/>
              </w:rPr>
            </w:pP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green-growing</w:t>
            </w:r>
          </w:p>
        </w:tc>
        <w:tc>
          <w:tcPr>
            <w:tcW w:w="56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dead standing tree</w:t>
            </w:r>
          </w:p>
        </w:tc>
        <w:tc>
          <w:tcPr>
            <w:tcW w:w="709" w:type="dxa"/>
            <w:vMerge/>
            <w:vAlign w:val="center"/>
          </w:tcPr>
          <w:p w:rsidR="00E304FA" w:rsidRPr="007C0BDC" w:rsidRDefault="00E304FA" w:rsidP="007C0BDC">
            <w:pPr>
              <w:spacing w:after="0" w:line="240" w:lineRule="auto"/>
              <w:jc w:val="center"/>
              <w:rPr>
                <w:rFonts w:ascii="Times New Roman" w:hAnsi="Times New Roman"/>
              </w:rPr>
            </w:pPr>
          </w:p>
        </w:tc>
        <w:tc>
          <w:tcPr>
            <w:tcW w:w="1065" w:type="dxa"/>
            <w:vMerge/>
            <w:vAlign w:val="center"/>
          </w:tcPr>
          <w:p w:rsidR="00E304FA" w:rsidRPr="007C0BDC" w:rsidRDefault="00E304FA" w:rsidP="007C0BDC">
            <w:pPr>
              <w:spacing w:after="0" w:line="240" w:lineRule="auto"/>
              <w:jc w:val="center"/>
              <w:rPr>
                <w:rFonts w:ascii="Times New Roman" w:hAnsi="Times New Roman"/>
              </w:rPr>
            </w:pPr>
          </w:p>
        </w:tc>
      </w:tr>
      <w:tr w:rsidR="00141BED" w:rsidRPr="007C0BDC" w:rsidTr="00165AA4">
        <w:trPr>
          <w:trHeight w:val="241"/>
          <w:jc w:val="center"/>
        </w:trPr>
        <w:tc>
          <w:tcPr>
            <w:tcW w:w="9448" w:type="dxa"/>
            <w:gridSpan w:val="14"/>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ГНПП «Бурабай»</w:t>
            </w:r>
          </w:p>
        </w:tc>
      </w:tr>
      <w:tr w:rsidR="00141BED" w:rsidRPr="007C0BDC" w:rsidTr="00165AA4">
        <w:trPr>
          <w:gridAfter w:val="1"/>
          <w:wAfter w:w="7" w:type="dxa"/>
          <w:trHeight w:val="402"/>
          <w:jc w:val="center"/>
        </w:trPr>
        <w:tc>
          <w:tcPr>
            <w:tcW w:w="80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К-5</w:t>
            </w:r>
          </w:p>
        </w:tc>
        <w:tc>
          <w:tcPr>
            <w:tcW w:w="708" w:type="dxa"/>
            <w:vAlign w:val="center"/>
          </w:tcPr>
          <w:p w:rsidR="00E304FA" w:rsidRPr="007C0BDC" w:rsidRDefault="00E304FA" w:rsidP="007C0BDC">
            <w:pPr>
              <w:spacing w:after="0" w:line="240" w:lineRule="auto"/>
              <w:jc w:val="center"/>
              <w:rPr>
                <w:rFonts w:ascii="Times New Roman" w:hAnsi="Times New Roman"/>
                <w:vertAlign w:val="subscript"/>
              </w:rPr>
            </w:pPr>
            <w:r w:rsidRPr="007C0BDC">
              <w:rPr>
                <w:rFonts w:ascii="Times New Roman" w:hAnsi="Times New Roman"/>
              </w:rPr>
              <w:t>10С</w:t>
            </w:r>
          </w:p>
        </w:tc>
        <w:tc>
          <w:tcPr>
            <w:tcW w:w="566"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V</w:t>
            </w:r>
          </w:p>
        </w:tc>
        <w:tc>
          <w:tcPr>
            <w:tcW w:w="707"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11,5</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11,1</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4760</w:t>
            </w:r>
          </w:p>
        </w:tc>
        <w:tc>
          <w:tcPr>
            <w:tcW w:w="696"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1400</w:t>
            </w:r>
          </w:p>
        </w:tc>
        <w:tc>
          <w:tcPr>
            <w:tcW w:w="774"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59,8</w:t>
            </w:r>
          </w:p>
        </w:tc>
        <w:tc>
          <w:tcPr>
            <w:tcW w:w="713"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1,9</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400</w:t>
            </w:r>
          </w:p>
        </w:tc>
        <w:tc>
          <w:tcPr>
            <w:tcW w:w="56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20</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V</w:t>
            </w:r>
          </w:p>
        </w:tc>
        <w:tc>
          <w:tcPr>
            <w:tcW w:w="1065"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36,1±1,5</w:t>
            </w:r>
          </w:p>
        </w:tc>
      </w:tr>
      <w:tr w:rsidR="00141BED" w:rsidRPr="007C0BDC" w:rsidTr="00165AA4">
        <w:trPr>
          <w:gridAfter w:val="1"/>
          <w:wAfter w:w="7" w:type="dxa"/>
          <w:trHeight w:val="310"/>
          <w:jc w:val="center"/>
        </w:trPr>
        <w:tc>
          <w:tcPr>
            <w:tcW w:w="80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7-5</w:t>
            </w:r>
          </w:p>
        </w:tc>
        <w:tc>
          <w:tcPr>
            <w:tcW w:w="708" w:type="dxa"/>
            <w:vAlign w:val="center"/>
          </w:tcPr>
          <w:p w:rsidR="00E304FA" w:rsidRPr="007C0BDC" w:rsidRDefault="00E304FA" w:rsidP="007C0BDC">
            <w:pPr>
              <w:spacing w:after="0" w:line="240" w:lineRule="auto"/>
              <w:jc w:val="center"/>
              <w:rPr>
                <w:rFonts w:ascii="Times New Roman" w:hAnsi="Times New Roman"/>
                <w:vertAlign w:val="subscript"/>
              </w:rPr>
            </w:pPr>
            <w:r w:rsidRPr="007C0BDC">
              <w:rPr>
                <w:rFonts w:ascii="Times New Roman" w:hAnsi="Times New Roman"/>
              </w:rPr>
              <w:t>10С</w:t>
            </w:r>
          </w:p>
        </w:tc>
        <w:tc>
          <w:tcPr>
            <w:tcW w:w="566"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V</w:t>
            </w:r>
          </w:p>
        </w:tc>
        <w:tc>
          <w:tcPr>
            <w:tcW w:w="707"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13,9</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15,4</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2060</w:t>
            </w:r>
          </w:p>
        </w:tc>
        <w:tc>
          <w:tcPr>
            <w:tcW w:w="696"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40</w:t>
            </w:r>
          </w:p>
        </w:tc>
        <w:tc>
          <w:tcPr>
            <w:tcW w:w="774"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39,2</w:t>
            </w:r>
          </w:p>
        </w:tc>
        <w:tc>
          <w:tcPr>
            <w:tcW w:w="713"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1,1</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280</w:t>
            </w:r>
          </w:p>
        </w:tc>
        <w:tc>
          <w:tcPr>
            <w:tcW w:w="56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IV</w:t>
            </w:r>
          </w:p>
        </w:tc>
        <w:tc>
          <w:tcPr>
            <w:tcW w:w="1065"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60,5±1,5</w:t>
            </w:r>
          </w:p>
        </w:tc>
      </w:tr>
      <w:tr w:rsidR="00141BED" w:rsidRPr="007C0BDC" w:rsidTr="00165AA4">
        <w:trPr>
          <w:trHeight w:val="129"/>
          <w:jc w:val="center"/>
        </w:trPr>
        <w:tc>
          <w:tcPr>
            <w:tcW w:w="9448" w:type="dxa"/>
            <w:gridSpan w:val="14"/>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ГЛПР «Семей орманы»</w:t>
            </w:r>
          </w:p>
        </w:tc>
      </w:tr>
      <w:tr w:rsidR="00141BED" w:rsidRPr="007C0BDC" w:rsidTr="00165AA4">
        <w:trPr>
          <w:gridAfter w:val="1"/>
          <w:wAfter w:w="7" w:type="dxa"/>
          <w:trHeight w:val="290"/>
          <w:jc w:val="center"/>
        </w:trPr>
        <w:tc>
          <w:tcPr>
            <w:tcW w:w="80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ПП-2</w:t>
            </w:r>
          </w:p>
        </w:tc>
        <w:tc>
          <w:tcPr>
            <w:tcW w:w="70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10С</w:t>
            </w:r>
          </w:p>
        </w:tc>
        <w:tc>
          <w:tcPr>
            <w:tcW w:w="566"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III</w:t>
            </w:r>
          </w:p>
        </w:tc>
        <w:tc>
          <w:tcPr>
            <w:tcW w:w="707"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16,0</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15,1</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1550</w:t>
            </w:r>
          </w:p>
        </w:tc>
        <w:tc>
          <w:tcPr>
            <w:tcW w:w="696"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133</w:t>
            </w:r>
          </w:p>
        </w:tc>
        <w:tc>
          <w:tcPr>
            <w:tcW w:w="774"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30,5</w:t>
            </w:r>
          </w:p>
        </w:tc>
        <w:tc>
          <w:tcPr>
            <w:tcW w:w="713"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0,9</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278</w:t>
            </w:r>
          </w:p>
        </w:tc>
        <w:tc>
          <w:tcPr>
            <w:tcW w:w="56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4</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II</w:t>
            </w:r>
          </w:p>
        </w:tc>
        <w:tc>
          <w:tcPr>
            <w:tcW w:w="1065"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53,9±2,3</w:t>
            </w:r>
          </w:p>
        </w:tc>
      </w:tr>
      <w:tr w:rsidR="00141BED" w:rsidRPr="007C0BDC" w:rsidTr="00165AA4">
        <w:trPr>
          <w:gridAfter w:val="1"/>
          <w:wAfter w:w="7" w:type="dxa"/>
          <w:trHeight w:val="279"/>
          <w:jc w:val="center"/>
        </w:trPr>
        <w:tc>
          <w:tcPr>
            <w:tcW w:w="80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ПП-1</w:t>
            </w:r>
          </w:p>
        </w:tc>
        <w:tc>
          <w:tcPr>
            <w:tcW w:w="70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10С</w:t>
            </w:r>
          </w:p>
        </w:tc>
        <w:tc>
          <w:tcPr>
            <w:tcW w:w="566"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III</w:t>
            </w:r>
          </w:p>
        </w:tc>
        <w:tc>
          <w:tcPr>
            <w:tcW w:w="707"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17,1</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19,8</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927</w:t>
            </w:r>
          </w:p>
        </w:tc>
        <w:tc>
          <w:tcPr>
            <w:tcW w:w="696"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w:t>
            </w:r>
          </w:p>
        </w:tc>
        <w:tc>
          <w:tcPr>
            <w:tcW w:w="774"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28,4</w:t>
            </w:r>
          </w:p>
        </w:tc>
        <w:tc>
          <w:tcPr>
            <w:tcW w:w="713"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0,8</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234</w:t>
            </w:r>
          </w:p>
        </w:tc>
        <w:tc>
          <w:tcPr>
            <w:tcW w:w="568"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w:t>
            </w:r>
          </w:p>
        </w:tc>
        <w:tc>
          <w:tcPr>
            <w:tcW w:w="709"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II</w:t>
            </w:r>
          </w:p>
        </w:tc>
        <w:tc>
          <w:tcPr>
            <w:tcW w:w="1065" w:type="dxa"/>
            <w:vAlign w:val="center"/>
          </w:tcPr>
          <w:p w:rsidR="00E304FA" w:rsidRPr="007C0BDC" w:rsidRDefault="00E304FA" w:rsidP="007C0BDC">
            <w:pPr>
              <w:spacing w:after="0" w:line="240" w:lineRule="auto"/>
              <w:jc w:val="center"/>
              <w:rPr>
                <w:rFonts w:ascii="Times New Roman" w:hAnsi="Times New Roman"/>
              </w:rPr>
            </w:pPr>
            <w:r w:rsidRPr="007C0BDC">
              <w:rPr>
                <w:rFonts w:ascii="Times New Roman" w:hAnsi="Times New Roman"/>
              </w:rPr>
              <w:t>75,3±6,3</w:t>
            </w:r>
          </w:p>
        </w:tc>
      </w:tr>
    </w:tbl>
    <w:p w:rsidR="00E304FA" w:rsidRPr="00141BED" w:rsidRDefault="00E304FA" w:rsidP="00141BED">
      <w:pPr>
        <w:spacing w:after="0" w:line="360" w:lineRule="auto"/>
        <w:jc w:val="both"/>
        <w:rPr>
          <w:rFonts w:ascii="Times New Roman" w:hAnsi="Times New Roman"/>
          <w:sz w:val="24"/>
          <w:szCs w:val="24"/>
        </w:rPr>
      </w:pPr>
    </w:p>
    <w:p w:rsidR="002F5A87" w:rsidRPr="00141BED" w:rsidRDefault="002F5A87" w:rsidP="002F5A87">
      <w:pPr>
        <w:spacing w:after="0" w:line="360" w:lineRule="auto"/>
        <w:ind w:firstLine="709"/>
        <w:jc w:val="both"/>
        <w:rPr>
          <w:rFonts w:ascii="Times New Roman" w:hAnsi="Times New Roman"/>
          <w:sz w:val="24"/>
          <w:szCs w:val="24"/>
          <w:lang w:val="en-US"/>
        </w:rPr>
      </w:pPr>
      <w:r w:rsidRPr="00141BED">
        <w:rPr>
          <w:rFonts w:ascii="Times New Roman" w:hAnsi="Times New Roman"/>
          <w:sz w:val="24"/>
          <w:szCs w:val="24"/>
          <w:lang w:val="en-US"/>
        </w:rPr>
        <w:t xml:space="preserve">Let's look at the dynamics of growth in pine forests of the </w:t>
      </w:r>
      <w:r w:rsidRPr="00141BED">
        <w:rPr>
          <w:rFonts w:ascii="Times New Roman" w:eastAsia="Times New Roman" w:hAnsi="Times New Roman"/>
          <w:sz w:val="24"/>
          <w:szCs w:val="24"/>
          <w:lang w:val="en-US" w:eastAsia="ru-RU"/>
        </w:rPr>
        <w:t>"Burabay" SNNP</w:t>
      </w:r>
      <w:r w:rsidRPr="00141BED">
        <w:rPr>
          <w:rFonts w:ascii="Times New Roman" w:hAnsi="Times New Roman"/>
          <w:sz w:val="24"/>
          <w:szCs w:val="24"/>
          <w:lang w:val="en-US"/>
        </w:rPr>
        <w:t>. The accounting periods for all the time of observations of the growth of pine stands are shown in table 3.</w:t>
      </w:r>
    </w:p>
    <w:p w:rsidR="00715C3F" w:rsidRPr="00141BED" w:rsidRDefault="00715C3F" w:rsidP="00141BED">
      <w:pPr>
        <w:spacing w:after="0" w:line="360" w:lineRule="auto"/>
        <w:ind w:firstLine="709"/>
        <w:jc w:val="both"/>
        <w:rPr>
          <w:rFonts w:ascii="Times New Roman" w:eastAsia="Times New Roman" w:hAnsi="Times New Roman"/>
          <w:sz w:val="24"/>
          <w:szCs w:val="24"/>
          <w:lang w:val="en-US" w:eastAsia="ru-RU"/>
        </w:rPr>
      </w:pPr>
    </w:p>
    <w:p w:rsidR="00A820F1" w:rsidRPr="00141BED" w:rsidRDefault="00856939"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 xml:space="preserve">Table 3 – Average value of radial growth over the observation periods in the pine stands of the </w:t>
      </w:r>
      <w:r w:rsidRPr="00141BED">
        <w:rPr>
          <w:rFonts w:ascii="Times New Roman" w:eastAsia="Times New Roman" w:hAnsi="Times New Roman"/>
          <w:sz w:val="24"/>
          <w:szCs w:val="24"/>
          <w:lang w:val="en-US" w:eastAsia="ru-RU"/>
        </w:rPr>
        <w:t>"Burabay" SNNP</w:t>
      </w: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1958"/>
        <w:gridCol w:w="947"/>
        <w:gridCol w:w="2677"/>
        <w:gridCol w:w="1819"/>
      </w:tblGrid>
      <w:tr w:rsidR="00141BED" w:rsidRPr="00911CCD" w:rsidTr="00E304FA">
        <w:trPr>
          <w:trHeight w:val="122"/>
          <w:jc w:val="center"/>
        </w:trPr>
        <w:tc>
          <w:tcPr>
            <w:tcW w:w="1624" w:type="dxa"/>
            <w:vMerge w:val="restart"/>
          </w:tcPr>
          <w:p w:rsidR="00A820F1" w:rsidRPr="00141BED" w:rsidRDefault="00A820F1" w:rsidP="002F5A87">
            <w:pPr>
              <w:spacing w:after="0" w:line="240" w:lineRule="auto"/>
              <w:rPr>
                <w:rFonts w:ascii="Times New Roman" w:hAnsi="Times New Roman"/>
                <w:sz w:val="24"/>
                <w:szCs w:val="24"/>
                <w:lang w:val="en-US"/>
              </w:rPr>
            </w:pPr>
            <w:r w:rsidRPr="00141BED">
              <w:rPr>
                <w:rFonts w:ascii="Times New Roman" w:hAnsi="Times New Roman"/>
                <w:sz w:val="24"/>
                <w:szCs w:val="24"/>
              </w:rPr>
              <w:t xml:space="preserve">№ </w:t>
            </w:r>
            <w:r w:rsidR="00856939" w:rsidRPr="00141BED">
              <w:rPr>
                <w:rFonts w:ascii="Times New Roman" w:hAnsi="Times New Roman"/>
                <w:sz w:val="24"/>
                <w:szCs w:val="24"/>
                <w:lang w:val="en-US"/>
              </w:rPr>
              <w:t>of period</w:t>
            </w:r>
          </w:p>
        </w:tc>
        <w:tc>
          <w:tcPr>
            <w:tcW w:w="1958" w:type="dxa"/>
            <w:vMerge w:val="restart"/>
          </w:tcPr>
          <w:p w:rsidR="00A820F1" w:rsidRPr="00141BED" w:rsidRDefault="00856939" w:rsidP="002F5A87">
            <w:pPr>
              <w:spacing w:after="0" w:line="240" w:lineRule="auto"/>
              <w:rPr>
                <w:rFonts w:ascii="Times New Roman" w:hAnsi="Times New Roman"/>
                <w:sz w:val="24"/>
                <w:szCs w:val="24"/>
                <w:lang w:val="en-US"/>
              </w:rPr>
            </w:pPr>
            <w:r w:rsidRPr="00141BED">
              <w:rPr>
                <w:rFonts w:ascii="Times New Roman" w:hAnsi="Times New Roman"/>
                <w:sz w:val="24"/>
                <w:szCs w:val="24"/>
                <w:lang w:val="en-US"/>
              </w:rPr>
              <w:t>Period</w:t>
            </w:r>
          </w:p>
        </w:tc>
        <w:tc>
          <w:tcPr>
            <w:tcW w:w="947" w:type="dxa"/>
            <w:vMerge w:val="restart"/>
          </w:tcPr>
          <w:p w:rsidR="00A820F1" w:rsidRPr="00141BED" w:rsidRDefault="00856939" w:rsidP="002F5A87">
            <w:pPr>
              <w:spacing w:after="0" w:line="240" w:lineRule="auto"/>
              <w:rPr>
                <w:rFonts w:ascii="Times New Roman" w:hAnsi="Times New Roman"/>
                <w:sz w:val="24"/>
                <w:szCs w:val="24"/>
                <w:lang w:val="en-US"/>
              </w:rPr>
            </w:pPr>
            <w:r w:rsidRPr="00141BED">
              <w:rPr>
                <w:rFonts w:ascii="Times New Roman" w:hAnsi="Times New Roman"/>
                <w:sz w:val="24"/>
                <w:szCs w:val="24"/>
                <w:lang w:val="en-US"/>
              </w:rPr>
              <w:t xml:space="preserve">Year of </w:t>
            </w:r>
            <w:r w:rsidR="00F814AA" w:rsidRPr="00141BED">
              <w:rPr>
                <w:rFonts w:ascii="Times New Roman" w:hAnsi="Times New Roman"/>
                <w:sz w:val="24"/>
                <w:szCs w:val="24"/>
                <w:lang w:val="en-US"/>
              </w:rPr>
              <w:t>felling</w:t>
            </w:r>
          </w:p>
        </w:tc>
        <w:tc>
          <w:tcPr>
            <w:tcW w:w="4496" w:type="dxa"/>
            <w:gridSpan w:val="2"/>
          </w:tcPr>
          <w:p w:rsidR="00A820F1" w:rsidRPr="00141BED" w:rsidRDefault="00856939" w:rsidP="002F5A87">
            <w:pPr>
              <w:spacing w:after="0" w:line="240" w:lineRule="auto"/>
              <w:rPr>
                <w:rFonts w:ascii="Times New Roman" w:hAnsi="Times New Roman"/>
                <w:sz w:val="24"/>
                <w:szCs w:val="24"/>
                <w:lang w:val="en-US"/>
              </w:rPr>
            </w:pPr>
            <w:r w:rsidRPr="00141BED">
              <w:rPr>
                <w:rFonts w:ascii="Times New Roman" w:hAnsi="Times New Roman"/>
                <w:sz w:val="24"/>
                <w:szCs w:val="24"/>
                <w:lang w:val="en-US"/>
              </w:rPr>
              <w:t>Average value of radial growth, mm</w:t>
            </w:r>
          </w:p>
        </w:tc>
      </w:tr>
      <w:tr w:rsidR="00141BED" w:rsidRPr="00141BED" w:rsidTr="00E304FA">
        <w:trPr>
          <w:trHeight w:val="314"/>
          <w:jc w:val="center"/>
        </w:trPr>
        <w:tc>
          <w:tcPr>
            <w:tcW w:w="1624" w:type="dxa"/>
            <w:vMerge/>
          </w:tcPr>
          <w:p w:rsidR="00A820F1" w:rsidRPr="00141BED" w:rsidRDefault="00A820F1" w:rsidP="002F5A87">
            <w:pPr>
              <w:spacing w:after="0" w:line="240" w:lineRule="auto"/>
              <w:jc w:val="both"/>
              <w:rPr>
                <w:rFonts w:ascii="Times New Roman" w:hAnsi="Times New Roman"/>
                <w:sz w:val="24"/>
                <w:szCs w:val="24"/>
                <w:lang w:val="en-US"/>
              </w:rPr>
            </w:pPr>
          </w:p>
        </w:tc>
        <w:tc>
          <w:tcPr>
            <w:tcW w:w="1958" w:type="dxa"/>
            <w:vMerge/>
          </w:tcPr>
          <w:p w:rsidR="00A820F1" w:rsidRPr="00141BED" w:rsidRDefault="00A820F1" w:rsidP="002F5A87">
            <w:pPr>
              <w:spacing w:after="0" w:line="240" w:lineRule="auto"/>
              <w:jc w:val="both"/>
              <w:rPr>
                <w:rFonts w:ascii="Times New Roman" w:hAnsi="Times New Roman"/>
                <w:sz w:val="24"/>
                <w:szCs w:val="24"/>
                <w:lang w:val="en-US"/>
              </w:rPr>
            </w:pPr>
          </w:p>
        </w:tc>
        <w:tc>
          <w:tcPr>
            <w:tcW w:w="947" w:type="dxa"/>
            <w:vMerge/>
          </w:tcPr>
          <w:p w:rsidR="00A820F1" w:rsidRPr="00141BED" w:rsidRDefault="00A820F1" w:rsidP="002F5A87">
            <w:pPr>
              <w:spacing w:after="0" w:line="240" w:lineRule="auto"/>
              <w:jc w:val="both"/>
              <w:rPr>
                <w:rFonts w:ascii="Times New Roman" w:hAnsi="Times New Roman"/>
                <w:sz w:val="24"/>
                <w:szCs w:val="24"/>
                <w:lang w:val="en-US"/>
              </w:rPr>
            </w:pPr>
          </w:p>
        </w:tc>
        <w:tc>
          <w:tcPr>
            <w:tcW w:w="2677" w:type="dxa"/>
          </w:tcPr>
          <w:p w:rsidR="00A820F1" w:rsidRPr="00141BED" w:rsidRDefault="00856939" w:rsidP="002F5A87">
            <w:pPr>
              <w:spacing w:after="0" w:line="240" w:lineRule="auto"/>
              <w:rPr>
                <w:rFonts w:ascii="Times New Roman" w:hAnsi="Times New Roman"/>
                <w:sz w:val="24"/>
                <w:szCs w:val="24"/>
                <w:lang w:val="en-US"/>
              </w:rPr>
            </w:pPr>
            <w:r w:rsidRPr="00141BED">
              <w:rPr>
                <w:rFonts w:ascii="Times New Roman" w:hAnsi="Times New Roman"/>
                <w:sz w:val="24"/>
                <w:szCs w:val="24"/>
                <w:lang w:val="en-US"/>
              </w:rPr>
              <w:t>Trial plot</w:t>
            </w:r>
          </w:p>
        </w:tc>
        <w:tc>
          <w:tcPr>
            <w:tcW w:w="1819" w:type="dxa"/>
          </w:tcPr>
          <w:p w:rsidR="00A820F1" w:rsidRPr="00141BED" w:rsidRDefault="00856939" w:rsidP="002F5A87">
            <w:pPr>
              <w:spacing w:after="0" w:line="240" w:lineRule="auto"/>
              <w:rPr>
                <w:rFonts w:ascii="Times New Roman" w:hAnsi="Times New Roman"/>
                <w:sz w:val="24"/>
                <w:szCs w:val="24"/>
                <w:lang w:val="en-US"/>
              </w:rPr>
            </w:pPr>
            <w:r w:rsidRPr="00141BED">
              <w:rPr>
                <w:rFonts w:ascii="Times New Roman" w:hAnsi="Times New Roman"/>
                <w:sz w:val="24"/>
                <w:szCs w:val="24"/>
                <w:lang w:val="en-US"/>
              </w:rPr>
              <w:t>Control</w:t>
            </w:r>
          </w:p>
        </w:tc>
      </w:tr>
      <w:tr w:rsidR="00141BED" w:rsidRPr="00141BED" w:rsidTr="00E304FA">
        <w:trPr>
          <w:trHeight w:val="314"/>
          <w:jc w:val="center"/>
        </w:trPr>
        <w:tc>
          <w:tcPr>
            <w:tcW w:w="1624"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w:t>
            </w:r>
          </w:p>
        </w:tc>
        <w:tc>
          <w:tcPr>
            <w:tcW w:w="1958"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1925-1948</w:t>
            </w:r>
          </w:p>
        </w:tc>
        <w:tc>
          <w:tcPr>
            <w:tcW w:w="947"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w:t>
            </w:r>
          </w:p>
        </w:tc>
        <w:tc>
          <w:tcPr>
            <w:tcW w:w="2677"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1,02±0,09</w:t>
            </w:r>
          </w:p>
        </w:tc>
        <w:tc>
          <w:tcPr>
            <w:tcW w:w="1819"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1,25±0,12</w:t>
            </w:r>
          </w:p>
        </w:tc>
      </w:tr>
      <w:tr w:rsidR="00141BED" w:rsidRPr="00141BED" w:rsidTr="00E304FA">
        <w:trPr>
          <w:trHeight w:val="314"/>
          <w:jc w:val="center"/>
        </w:trPr>
        <w:tc>
          <w:tcPr>
            <w:tcW w:w="1624"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2</w:t>
            </w:r>
          </w:p>
        </w:tc>
        <w:tc>
          <w:tcPr>
            <w:tcW w:w="1958"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1949-1960</w:t>
            </w:r>
          </w:p>
        </w:tc>
        <w:tc>
          <w:tcPr>
            <w:tcW w:w="947"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1948</w:t>
            </w:r>
          </w:p>
        </w:tc>
        <w:tc>
          <w:tcPr>
            <w:tcW w:w="2677"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0,76±0,04</w:t>
            </w:r>
          </w:p>
        </w:tc>
        <w:tc>
          <w:tcPr>
            <w:tcW w:w="1819"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0,64±0,05</w:t>
            </w:r>
          </w:p>
        </w:tc>
      </w:tr>
      <w:tr w:rsidR="00141BED" w:rsidRPr="00141BED" w:rsidTr="00E304FA">
        <w:trPr>
          <w:trHeight w:val="314"/>
          <w:jc w:val="center"/>
        </w:trPr>
        <w:tc>
          <w:tcPr>
            <w:tcW w:w="1624"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3</w:t>
            </w:r>
          </w:p>
        </w:tc>
        <w:tc>
          <w:tcPr>
            <w:tcW w:w="1958"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1961-1970</w:t>
            </w:r>
          </w:p>
        </w:tc>
        <w:tc>
          <w:tcPr>
            <w:tcW w:w="947"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1961</w:t>
            </w:r>
          </w:p>
        </w:tc>
        <w:tc>
          <w:tcPr>
            <w:tcW w:w="2677"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0,56±0,04</w:t>
            </w:r>
          </w:p>
        </w:tc>
        <w:tc>
          <w:tcPr>
            <w:tcW w:w="1819"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0,52±0,04</w:t>
            </w:r>
          </w:p>
        </w:tc>
      </w:tr>
      <w:tr w:rsidR="00141BED" w:rsidRPr="00141BED" w:rsidTr="00E304FA">
        <w:trPr>
          <w:trHeight w:val="314"/>
          <w:jc w:val="center"/>
        </w:trPr>
        <w:tc>
          <w:tcPr>
            <w:tcW w:w="1624"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4</w:t>
            </w:r>
          </w:p>
        </w:tc>
        <w:tc>
          <w:tcPr>
            <w:tcW w:w="1958"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1971-1981</w:t>
            </w:r>
          </w:p>
        </w:tc>
        <w:tc>
          <w:tcPr>
            <w:tcW w:w="947"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1971</w:t>
            </w:r>
          </w:p>
        </w:tc>
        <w:tc>
          <w:tcPr>
            <w:tcW w:w="2677"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0,63±0,04</w:t>
            </w:r>
          </w:p>
        </w:tc>
        <w:tc>
          <w:tcPr>
            <w:tcW w:w="1819"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0,65±0,02</w:t>
            </w:r>
          </w:p>
        </w:tc>
      </w:tr>
      <w:tr w:rsidR="00141BED" w:rsidRPr="00141BED" w:rsidTr="00E304FA">
        <w:trPr>
          <w:trHeight w:val="314"/>
          <w:jc w:val="center"/>
        </w:trPr>
        <w:tc>
          <w:tcPr>
            <w:tcW w:w="1624"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5</w:t>
            </w:r>
          </w:p>
        </w:tc>
        <w:tc>
          <w:tcPr>
            <w:tcW w:w="1958"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1982-1990</w:t>
            </w:r>
          </w:p>
        </w:tc>
        <w:tc>
          <w:tcPr>
            <w:tcW w:w="947"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1982</w:t>
            </w:r>
          </w:p>
        </w:tc>
        <w:tc>
          <w:tcPr>
            <w:tcW w:w="2677"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0,47±0,03</w:t>
            </w:r>
          </w:p>
        </w:tc>
        <w:tc>
          <w:tcPr>
            <w:tcW w:w="1819"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0,50±0,03</w:t>
            </w:r>
          </w:p>
        </w:tc>
      </w:tr>
      <w:tr w:rsidR="00141BED" w:rsidRPr="00141BED" w:rsidTr="00E304FA">
        <w:trPr>
          <w:trHeight w:val="314"/>
          <w:jc w:val="center"/>
        </w:trPr>
        <w:tc>
          <w:tcPr>
            <w:tcW w:w="1624"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6</w:t>
            </w:r>
          </w:p>
        </w:tc>
        <w:tc>
          <w:tcPr>
            <w:tcW w:w="1958"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1991 - 2018</w:t>
            </w:r>
          </w:p>
        </w:tc>
        <w:tc>
          <w:tcPr>
            <w:tcW w:w="947" w:type="dxa"/>
          </w:tcPr>
          <w:p w:rsidR="00E304FA" w:rsidRPr="00141BED" w:rsidRDefault="00E304FA" w:rsidP="002F5A87">
            <w:pPr>
              <w:spacing w:after="0" w:line="240" w:lineRule="auto"/>
              <w:jc w:val="center"/>
              <w:rPr>
                <w:rFonts w:ascii="Times New Roman" w:hAnsi="Times New Roman"/>
                <w:sz w:val="24"/>
                <w:szCs w:val="24"/>
              </w:rPr>
            </w:pPr>
            <w:r w:rsidRPr="00141BED">
              <w:rPr>
                <w:rFonts w:ascii="Times New Roman" w:hAnsi="Times New Roman"/>
                <w:sz w:val="24"/>
                <w:szCs w:val="24"/>
              </w:rPr>
              <w:t>1991</w:t>
            </w:r>
          </w:p>
        </w:tc>
        <w:tc>
          <w:tcPr>
            <w:tcW w:w="2677"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0,53±0,02</w:t>
            </w:r>
          </w:p>
        </w:tc>
        <w:tc>
          <w:tcPr>
            <w:tcW w:w="1819"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0,48±0,02</w:t>
            </w:r>
          </w:p>
        </w:tc>
      </w:tr>
      <w:tr w:rsidR="002F5A87" w:rsidRPr="00141BED" w:rsidTr="00E304FA">
        <w:trPr>
          <w:trHeight w:val="314"/>
          <w:jc w:val="center"/>
        </w:trPr>
        <w:tc>
          <w:tcPr>
            <w:tcW w:w="1624" w:type="dxa"/>
          </w:tcPr>
          <w:p w:rsidR="00E304FA" w:rsidRPr="00141BED" w:rsidRDefault="00E304FA" w:rsidP="002F5A87">
            <w:pPr>
              <w:spacing w:after="0" w:line="240" w:lineRule="auto"/>
              <w:rPr>
                <w:rFonts w:ascii="Times New Roman" w:hAnsi="Times New Roman"/>
                <w:sz w:val="24"/>
                <w:szCs w:val="24"/>
              </w:rPr>
            </w:pPr>
            <w:r w:rsidRPr="00141BED">
              <w:rPr>
                <w:rFonts w:ascii="Times New Roman" w:hAnsi="Times New Roman"/>
                <w:sz w:val="24"/>
                <w:szCs w:val="24"/>
                <w:lang w:val="en-US"/>
              </w:rPr>
              <w:t>Average</w:t>
            </w:r>
          </w:p>
        </w:tc>
        <w:tc>
          <w:tcPr>
            <w:tcW w:w="1958" w:type="dxa"/>
          </w:tcPr>
          <w:p w:rsidR="00E304FA" w:rsidRPr="00141BED" w:rsidRDefault="00E304FA" w:rsidP="002F5A87">
            <w:pPr>
              <w:spacing w:after="0" w:line="240" w:lineRule="auto"/>
              <w:rPr>
                <w:rFonts w:ascii="Times New Roman" w:hAnsi="Times New Roman"/>
                <w:sz w:val="24"/>
                <w:szCs w:val="24"/>
              </w:rPr>
            </w:pPr>
          </w:p>
        </w:tc>
        <w:tc>
          <w:tcPr>
            <w:tcW w:w="947" w:type="dxa"/>
          </w:tcPr>
          <w:p w:rsidR="00E304FA" w:rsidRPr="00141BED" w:rsidRDefault="00E304FA" w:rsidP="002F5A87">
            <w:pPr>
              <w:spacing w:after="0" w:line="240" w:lineRule="auto"/>
              <w:rPr>
                <w:rFonts w:ascii="Times New Roman" w:hAnsi="Times New Roman"/>
                <w:sz w:val="24"/>
                <w:szCs w:val="24"/>
              </w:rPr>
            </w:pPr>
          </w:p>
        </w:tc>
        <w:tc>
          <w:tcPr>
            <w:tcW w:w="2677"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0,69±0,04</w:t>
            </w:r>
          </w:p>
        </w:tc>
        <w:tc>
          <w:tcPr>
            <w:tcW w:w="1819" w:type="dxa"/>
            <w:vAlign w:val="center"/>
          </w:tcPr>
          <w:p w:rsidR="00E304FA" w:rsidRPr="00141BED" w:rsidRDefault="00E304FA" w:rsidP="002F5A87">
            <w:pPr>
              <w:spacing w:after="0" w:line="240" w:lineRule="auto"/>
              <w:jc w:val="center"/>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0,72±0,05</w:t>
            </w:r>
          </w:p>
        </w:tc>
      </w:tr>
    </w:tbl>
    <w:p w:rsidR="00856939" w:rsidRPr="00141BED" w:rsidRDefault="00856939" w:rsidP="00141BED">
      <w:pPr>
        <w:spacing w:after="0" w:line="360" w:lineRule="auto"/>
        <w:ind w:firstLine="567"/>
        <w:jc w:val="both"/>
        <w:rPr>
          <w:rFonts w:ascii="Times New Roman" w:hAnsi="Times New Roman"/>
          <w:sz w:val="24"/>
          <w:szCs w:val="24"/>
        </w:rPr>
      </w:pPr>
    </w:p>
    <w:p w:rsidR="00926FAB" w:rsidRPr="00141BED" w:rsidRDefault="00926FA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An interesting fact is that the average diameter of trees on the control was 12.4 cm, on the test plot – 10.9 cm. Consequently, the average radial </w:t>
      </w:r>
      <w:r w:rsidR="009D238E" w:rsidRPr="00141BED">
        <w:rPr>
          <w:rFonts w:ascii="Times New Roman" w:hAnsi="Times New Roman"/>
          <w:sz w:val="24"/>
          <w:szCs w:val="24"/>
          <w:lang w:val="en-US"/>
        </w:rPr>
        <w:t xml:space="preserve">increment </w:t>
      </w:r>
      <w:r w:rsidRPr="00141BED">
        <w:rPr>
          <w:rFonts w:ascii="Times New Roman" w:hAnsi="Times New Roman"/>
          <w:sz w:val="24"/>
          <w:szCs w:val="24"/>
          <w:lang w:val="en-US"/>
        </w:rPr>
        <w:t>on the control was greater than on the test plot, which is confirmed by the data on the larger diameter on the control. Moreover, the fullness of stands was 1.1 on the TP, and 1.9 on the control. Based on the research data, it is not possible to determine why, with greater fullness, thickening and the same age of trees, large values of diameter and growth were observed in the control area. This requires more complete and long-term research.</w:t>
      </w:r>
    </w:p>
    <w:p w:rsidR="00926FAB" w:rsidRPr="00141BED" w:rsidRDefault="00926FAB" w:rsidP="00141BED">
      <w:pPr>
        <w:spacing w:after="0" w:line="360" w:lineRule="auto"/>
        <w:ind w:firstLine="709"/>
        <w:jc w:val="both"/>
        <w:rPr>
          <w:rFonts w:ascii="Times New Roman" w:hAnsi="Times New Roman"/>
          <w:sz w:val="24"/>
          <w:szCs w:val="24"/>
          <w:lang w:val="en-US"/>
        </w:rPr>
      </w:pPr>
      <w:r w:rsidRPr="00141BED">
        <w:rPr>
          <w:rFonts w:ascii="Times New Roman" w:hAnsi="Times New Roman"/>
          <w:sz w:val="24"/>
          <w:szCs w:val="24"/>
          <w:lang w:val="en-US"/>
        </w:rPr>
        <w:lastRenderedPageBreak/>
        <w:t>According to table 3,</w:t>
      </w:r>
      <w:r w:rsidR="0094118F" w:rsidRPr="00141BED">
        <w:rPr>
          <w:rFonts w:ascii="Times New Roman" w:hAnsi="Times New Roman"/>
          <w:sz w:val="24"/>
          <w:szCs w:val="24"/>
          <w:lang w:val="en-US"/>
        </w:rPr>
        <w:t xml:space="preserve"> </w:t>
      </w:r>
      <w:r w:rsidRPr="00141BED">
        <w:rPr>
          <w:rFonts w:ascii="Times New Roman" w:hAnsi="Times New Roman"/>
          <w:sz w:val="24"/>
          <w:szCs w:val="24"/>
          <w:lang w:val="en-US"/>
        </w:rPr>
        <w:t xml:space="preserve">there are no significant differences in the average values of the annual ring width for the entire period of their growth (1925-2018) in the areas compared in terms of thinning intensity in the thickened pine forests of dry growth conditions of the </w:t>
      </w:r>
      <w:r w:rsidR="001363C3" w:rsidRPr="00141BED">
        <w:rPr>
          <w:rFonts w:ascii="Times New Roman" w:eastAsia="Times New Roman" w:hAnsi="Times New Roman"/>
          <w:sz w:val="24"/>
          <w:szCs w:val="24"/>
          <w:lang w:val="en-US" w:eastAsia="ru-RU"/>
        </w:rPr>
        <w:t>"Burabay" SNNP</w:t>
      </w:r>
      <w:r w:rsidRPr="00141BED">
        <w:rPr>
          <w:rFonts w:ascii="Times New Roman" w:hAnsi="Times New Roman"/>
          <w:sz w:val="24"/>
          <w:szCs w:val="24"/>
          <w:lang w:val="en-US"/>
        </w:rPr>
        <w:t xml:space="preserve"> (tfact=0.4 at t0,05=2.0). Statistically significant differences in the average values of the indicator under consideration are noted after the first intake of care in the period from 1948 to 1960 (tfact=2.1 at t0</w:t>
      </w:r>
      <w:proofErr w:type="gramStart"/>
      <w:r w:rsidRPr="00141BED">
        <w:rPr>
          <w:rFonts w:ascii="Times New Roman" w:hAnsi="Times New Roman"/>
          <w:sz w:val="24"/>
          <w:szCs w:val="24"/>
          <w:lang w:val="en-US"/>
        </w:rPr>
        <w:t>,05</w:t>
      </w:r>
      <w:proofErr w:type="gramEnd"/>
      <w:r w:rsidRPr="00141BED">
        <w:rPr>
          <w:rFonts w:ascii="Times New Roman" w:hAnsi="Times New Roman"/>
          <w:sz w:val="24"/>
          <w:szCs w:val="24"/>
          <w:lang w:val="en-US"/>
        </w:rPr>
        <w:t xml:space="preserve">=2.0). After all subsequent </w:t>
      </w:r>
      <w:r w:rsidR="001902D5" w:rsidRPr="00141BED">
        <w:rPr>
          <w:rFonts w:ascii="Times New Roman" w:hAnsi="Times New Roman"/>
          <w:sz w:val="24"/>
          <w:szCs w:val="24"/>
          <w:lang w:val="en-US"/>
        </w:rPr>
        <w:t>tending</w:t>
      </w:r>
      <w:r w:rsidRPr="00141BED">
        <w:rPr>
          <w:rFonts w:ascii="Times New Roman" w:hAnsi="Times New Roman"/>
          <w:sz w:val="24"/>
          <w:szCs w:val="24"/>
          <w:lang w:val="en-US"/>
        </w:rPr>
        <w:t xml:space="preserve"> procedures, there are no significant differences in the average values of the considered indicators in the compared areas (tfact=0.1-1.1 with t0</w:t>
      </w:r>
      <w:proofErr w:type="gramStart"/>
      <w:r w:rsidRPr="00141BED">
        <w:rPr>
          <w:rFonts w:ascii="Times New Roman" w:hAnsi="Times New Roman"/>
          <w:sz w:val="24"/>
          <w:szCs w:val="24"/>
          <w:lang w:val="en-US"/>
        </w:rPr>
        <w:t>,05</w:t>
      </w:r>
      <w:proofErr w:type="gramEnd"/>
      <w:r w:rsidRPr="00141BED">
        <w:rPr>
          <w:rFonts w:ascii="Times New Roman" w:hAnsi="Times New Roman"/>
          <w:sz w:val="24"/>
          <w:szCs w:val="24"/>
          <w:lang w:val="en-US"/>
        </w:rPr>
        <w:t>=2.0).</w:t>
      </w:r>
    </w:p>
    <w:p w:rsidR="00A820F1" w:rsidRPr="00141BED" w:rsidRDefault="001363C3" w:rsidP="00141BED">
      <w:pPr>
        <w:spacing w:after="0" w:line="360" w:lineRule="auto"/>
        <w:ind w:firstLine="709"/>
        <w:jc w:val="both"/>
        <w:rPr>
          <w:rFonts w:ascii="Times New Roman" w:hAnsi="Times New Roman"/>
          <w:sz w:val="24"/>
          <w:szCs w:val="24"/>
          <w:lang w:val="en-US"/>
        </w:rPr>
      </w:pPr>
      <w:r w:rsidRPr="00141BED">
        <w:rPr>
          <w:rFonts w:ascii="Times New Roman" w:hAnsi="Times New Roman"/>
          <w:sz w:val="24"/>
          <w:szCs w:val="24"/>
          <w:lang w:val="en-US"/>
        </w:rPr>
        <w:t xml:space="preserve">Figure </w:t>
      </w:r>
      <w:r w:rsidR="00361230" w:rsidRPr="00361230">
        <w:rPr>
          <w:rFonts w:ascii="Times New Roman" w:hAnsi="Times New Roman"/>
          <w:sz w:val="24"/>
          <w:szCs w:val="24"/>
          <w:lang w:val="en-US"/>
        </w:rPr>
        <w:t>8</w:t>
      </w:r>
      <w:r w:rsidRPr="00141BED">
        <w:rPr>
          <w:rFonts w:ascii="Times New Roman" w:hAnsi="Times New Roman"/>
          <w:sz w:val="24"/>
          <w:szCs w:val="24"/>
          <w:lang w:val="en-US"/>
        </w:rPr>
        <w:t xml:space="preserve"> </w:t>
      </w:r>
      <w:proofErr w:type="gramStart"/>
      <w:r w:rsidRPr="00141BED">
        <w:rPr>
          <w:rFonts w:ascii="Times New Roman" w:hAnsi="Times New Roman"/>
          <w:sz w:val="24"/>
          <w:szCs w:val="24"/>
          <w:lang w:val="en-US"/>
        </w:rPr>
        <w:t>shows</w:t>
      </w:r>
      <w:proofErr w:type="gramEnd"/>
      <w:r w:rsidRPr="00141BED">
        <w:rPr>
          <w:rFonts w:ascii="Times New Roman" w:hAnsi="Times New Roman"/>
          <w:sz w:val="24"/>
          <w:szCs w:val="24"/>
          <w:lang w:val="en-US"/>
        </w:rPr>
        <w:t xml:space="preserve"> that the growth of Scots pine on the test area with the conducted tending felling (TP) has a mild cyclical character. Explicit highs of growth were observed in 1926, 1943, 1950, 1956, 1961, 1971, 1981, 1995, 2007 years. Growth lows were in 1931, 1952, 1967, 1977, 1987, 1991, 2001 and 2004. During the period from the beginning of tree life to the age of about 25 years, there is an intensive radial growth. In subsequent years, the increase gradually decreases and the feature becomes more aligned.</w:t>
      </w:r>
    </w:p>
    <w:p w:rsidR="005C10E1" w:rsidRPr="00141BED" w:rsidRDefault="005C10E1" w:rsidP="00141BED">
      <w:pPr>
        <w:spacing w:after="0" w:line="360" w:lineRule="auto"/>
        <w:jc w:val="both"/>
        <w:rPr>
          <w:rFonts w:ascii="Times New Roman" w:hAnsi="Times New Roman"/>
          <w:sz w:val="24"/>
          <w:szCs w:val="24"/>
        </w:rPr>
      </w:pPr>
      <w:r w:rsidRPr="00141BED">
        <w:rPr>
          <w:rFonts w:ascii="Times New Roman" w:hAnsi="Times New Roman"/>
          <w:noProof/>
          <w:sz w:val="24"/>
          <w:szCs w:val="24"/>
          <w:lang w:eastAsia="ru-RU"/>
        </w:rPr>
        <w:drawing>
          <wp:inline distT="0" distB="0" distL="0" distR="0" wp14:anchorId="74B10639" wp14:editId="4648A068">
            <wp:extent cx="5939790" cy="2800985"/>
            <wp:effectExtent l="0" t="0" r="381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820F1" w:rsidRPr="00141BED" w:rsidRDefault="00A820F1" w:rsidP="00141BED">
      <w:pPr>
        <w:spacing w:after="0" w:line="360" w:lineRule="auto"/>
        <w:jc w:val="both"/>
        <w:rPr>
          <w:rFonts w:ascii="Times New Roman" w:hAnsi="Times New Roman"/>
          <w:sz w:val="24"/>
          <w:szCs w:val="24"/>
          <w:lang w:val="en-US"/>
        </w:rPr>
      </w:pPr>
    </w:p>
    <w:p w:rsidR="00A820F1" w:rsidRPr="00141BED" w:rsidRDefault="001363C3"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 xml:space="preserve">Figure </w:t>
      </w:r>
      <w:r w:rsidR="00361230" w:rsidRPr="00361230">
        <w:rPr>
          <w:rFonts w:ascii="Times New Roman" w:hAnsi="Times New Roman"/>
          <w:sz w:val="24"/>
          <w:szCs w:val="24"/>
          <w:lang w:val="en-US"/>
        </w:rPr>
        <w:t>8</w:t>
      </w:r>
      <w:r w:rsidRPr="00141BED">
        <w:rPr>
          <w:rFonts w:ascii="Times New Roman" w:hAnsi="Times New Roman"/>
          <w:sz w:val="24"/>
          <w:szCs w:val="24"/>
          <w:lang w:val="en-US"/>
        </w:rPr>
        <w:t xml:space="preserve"> – The value of radial growth of Scots pine over the years in the area covered by </w:t>
      </w:r>
      <w:hyperlink r:id="rId23" w:history="1">
        <w:r w:rsidRPr="00141BED">
          <w:rPr>
            <w:rFonts w:ascii="Times New Roman" w:hAnsi="Times New Roman"/>
            <w:sz w:val="24"/>
            <w:szCs w:val="24"/>
            <w:lang w:val="en-US"/>
          </w:rPr>
          <w:t>tending felling</w:t>
        </w:r>
      </w:hyperlink>
      <w:r w:rsidRPr="00141BED">
        <w:rPr>
          <w:rFonts w:ascii="Times New Roman" w:hAnsi="Times New Roman"/>
          <w:sz w:val="24"/>
          <w:szCs w:val="24"/>
          <w:lang w:val="en-US"/>
        </w:rPr>
        <w:t xml:space="preserve"> in the </w:t>
      </w:r>
      <w:r w:rsidRPr="00141BED">
        <w:rPr>
          <w:rFonts w:ascii="Times New Roman" w:eastAsia="Times New Roman" w:hAnsi="Times New Roman"/>
          <w:sz w:val="24"/>
          <w:szCs w:val="24"/>
          <w:lang w:val="en-US" w:eastAsia="ru-RU"/>
        </w:rPr>
        <w:t>"Burabay" SNNP</w:t>
      </w:r>
      <w:r w:rsidRPr="00141BED">
        <w:rPr>
          <w:rFonts w:ascii="Times New Roman" w:hAnsi="Times New Roman"/>
          <w:sz w:val="24"/>
          <w:szCs w:val="24"/>
          <w:lang w:val="en-US"/>
        </w:rPr>
        <w:t xml:space="preserve"> </w:t>
      </w:r>
    </w:p>
    <w:p w:rsidR="001363C3" w:rsidRPr="00141BED" w:rsidRDefault="001363C3" w:rsidP="00141BED">
      <w:pPr>
        <w:spacing w:after="0" w:line="360" w:lineRule="auto"/>
        <w:jc w:val="center"/>
        <w:rPr>
          <w:rFonts w:ascii="Times New Roman" w:hAnsi="Times New Roman"/>
          <w:sz w:val="24"/>
          <w:szCs w:val="24"/>
          <w:lang w:val="en-US"/>
        </w:rPr>
      </w:pPr>
    </w:p>
    <w:p w:rsidR="00836398" w:rsidRPr="00141BED" w:rsidRDefault="00836398"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In the control area, the cyclical growth of pine is more clearly visible. We have divided a series of data on the minimum radial growth of pine into several stages that characterize the duration of different cycles of pine growth. The first stage of intensive growth lasted from 1925 to 1937 (12 years), the second – from 1938 to 1953 (15 years)</w:t>
      </w:r>
      <w:r w:rsidR="0094118F" w:rsidRPr="00141BED">
        <w:rPr>
          <w:rFonts w:ascii="Times New Roman" w:hAnsi="Times New Roman"/>
          <w:sz w:val="24"/>
          <w:szCs w:val="24"/>
          <w:lang w:val="en-US"/>
        </w:rPr>
        <w:t>, the next – to 1967 (13 years)</w:t>
      </w:r>
      <w:r w:rsidRPr="00141BED">
        <w:rPr>
          <w:rFonts w:ascii="Times New Roman" w:hAnsi="Times New Roman"/>
          <w:sz w:val="24"/>
          <w:szCs w:val="24"/>
          <w:lang w:val="en-US"/>
        </w:rPr>
        <w:t xml:space="preserve">, etc. </w:t>
      </w:r>
      <w:r w:rsidRPr="00141BED">
        <w:rPr>
          <w:rFonts w:ascii="Times New Roman" w:hAnsi="Times New Roman"/>
          <w:sz w:val="24"/>
          <w:szCs w:val="24"/>
          <w:lang w:val="en-US"/>
        </w:rPr>
        <w:lastRenderedPageBreak/>
        <w:t>Approximately the entire dendrogram can be divided into 7 stages, each extending from 15 to 9 years.</w:t>
      </w:r>
    </w:p>
    <w:p w:rsidR="00A820F1" w:rsidRDefault="000D7E76" w:rsidP="00141BED">
      <w:pPr>
        <w:spacing w:after="0" w:line="360" w:lineRule="auto"/>
        <w:ind w:firstLine="567"/>
        <w:jc w:val="both"/>
        <w:rPr>
          <w:rFonts w:ascii="Times New Roman" w:hAnsi="Times New Roman"/>
          <w:sz w:val="24"/>
          <w:szCs w:val="24"/>
        </w:rPr>
      </w:pPr>
      <w:r w:rsidRPr="00141BED">
        <w:rPr>
          <w:rFonts w:ascii="Times New Roman" w:hAnsi="Times New Roman"/>
          <w:sz w:val="24"/>
          <w:szCs w:val="24"/>
          <w:lang w:val="en-US"/>
        </w:rPr>
        <w:t xml:space="preserve">Before the first logging operation, the radial increments of pine are very diverse in size and have a high variability (figure </w:t>
      </w:r>
      <w:r w:rsidR="00361230" w:rsidRPr="00361230">
        <w:rPr>
          <w:rFonts w:ascii="Times New Roman" w:hAnsi="Times New Roman"/>
          <w:sz w:val="24"/>
          <w:szCs w:val="24"/>
          <w:lang w:val="en-US"/>
        </w:rPr>
        <w:t>9</w:t>
      </w:r>
      <w:r w:rsidRPr="00141BED">
        <w:rPr>
          <w:rFonts w:ascii="Times New Roman" w:hAnsi="Times New Roman"/>
          <w:sz w:val="24"/>
          <w:szCs w:val="24"/>
          <w:lang w:val="en-US"/>
        </w:rPr>
        <w:t>). In addition to soil and climate conditions, this fact can be influenced by the age of trees. After the first cut, the scale of the trait is more compressed, which indicates that the trees have differentiated and, consequently, the variability of the trait under consideration has decreased. In subsequent periods, the growth values are more compact.</w:t>
      </w:r>
    </w:p>
    <w:p w:rsidR="001C4554" w:rsidRPr="001C4554" w:rsidRDefault="001C4554" w:rsidP="00141BED">
      <w:pPr>
        <w:spacing w:after="0" w:line="360" w:lineRule="auto"/>
        <w:ind w:firstLine="567"/>
        <w:jc w:val="both"/>
        <w:rPr>
          <w:rFonts w:ascii="Times New Roman" w:hAnsi="Times New Roman"/>
          <w:sz w:val="24"/>
          <w:szCs w:val="24"/>
        </w:rPr>
      </w:pPr>
    </w:p>
    <w:p w:rsidR="005C10E1" w:rsidRPr="00141BED" w:rsidRDefault="005C10E1" w:rsidP="00141BED">
      <w:pPr>
        <w:spacing w:after="0" w:line="360" w:lineRule="auto"/>
        <w:ind w:firstLine="567"/>
        <w:jc w:val="both"/>
        <w:rPr>
          <w:rFonts w:ascii="Times New Roman" w:hAnsi="Times New Roman"/>
          <w:sz w:val="24"/>
          <w:szCs w:val="24"/>
        </w:rPr>
      </w:pPr>
      <w:r w:rsidRPr="00141BED">
        <w:rPr>
          <w:rFonts w:ascii="Times New Roman" w:hAnsi="Times New Roman"/>
          <w:noProof/>
          <w:sz w:val="24"/>
          <w:szCs w:val="24"/>
          <w:lang w:eastAsia="ru-RU"/>
        </w:rPr>
        <w:drawing>
          <wp:inline distT="0" distB="0" distL="0" distR="0" wp14:anchorId="6B3E9E9B" wp14:editId="5C577E91">
            <wp:extent cx="3344545" cy="25374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r="32475" b="31689"/>
                    <a:stretch>
                      <a:fillRect/>
                    </a:stretch>
                  </pic:blipFill>
                  <pic:spPr bwMode="auto">
                    <a:xfrm>
                      <a:off x="0" y="0"/>
                      <a:ext cx="3344545" cy="2537460"/>
                    </a:xfrm>
                    <a:prstGeom prst="rect">
                      <a:avLst/>
                    </a:prstGeom>
                    <a:noFill/>
                    <a:ln>
                      <a:noFill/>
                    </a:ln>
                  </pic:spPr>
                </pic:pic>
              </a:graphicData>
            </a:graphic>
          </wp:inline>
        </w:drawing>
      </w:r>
    </w:p>
    <w:p w:rsidR="00337B7A" w:rsidRPr="00141BED" w:rsidRDefault="00337B7A" w:rsidP="00337B7A">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 xml:space="preserve">Note: the numbers indicate the periods 1 – to the 1st felling; 2-from 1 to 2 </w:t>
      </w:r>
      <w:r w:rsidRPr="00141BED">
        <w:rPr>
          <w:rFonts w:ascii="Times New Roman" w:hAnsi="Times New Roman"/>
          <w:sz w:val="24"/>
          <w:szCs w:val="24"/>
          <w:lang w:val="en-US"/>
        </w:rPr>
        <w:tab/>
        <w:t>felling; 3 – from 2 to 3 felling; 4-from 3 to 4 felling; 5 – from 4 to 5 felling; 6-from 5 felling to the present time</w:t>
      </w:r>
    </w:p>
    <w:p w:rsidR="00337B7A" w:rsidRPr="00337B7A" w:rsidRDefault="00337B7A" w:rsidP="00141BED">
      <w:pPr>
        <w:spacing w:after="0" w:line="360" w:lineRule="auto"/>
        <w:ind w:firstLine="567"/>
        <w:jc w:val="center"/>
        <w:rPr>
          <w:rFonts w:ascii="Times New Roman" w:hAnsi="Times New Roman"/>
          <w:sz w:val="24"/>
          <w:szCs w:val="24"/>
          <w:lang w:val="en-US"/>
        </w:rPr>
      </w:pPr>
    </w:p>
    <w:p w:rsidR="00A820F1" w:rsidRPr="00141BED" w:rsidRDefault="006F2F0A" w:rsidP="00141BED">
      <w:pPr>
        <w:spacing w:after="0" w:line="360" w:lineRule="auto"/>
        <w:ind w:firstLine="567"/>
        <w:jc w:val="center"/>
        <w:rPr>
          <w:rFonts w:ascii="Times New Roman" w:hAnsi="Times New Roman"/>
          <w:sz w:val="24"/>
          <w:szCs w:val="24"/>
          <w:lang w:val="en-US"/>
        </w:rPr>
      </w:pPr>
      <w:r w:rsidRPr="00141BED">
        <w:rPr>
          <w:rFonts w:ascii="Times New Roman" w:hAnsi="Times New Roman"/>
          <w:sz w:val="24"/>
          <w:szCs w:val="24"/>
          <w:lang w:val="en-US"/>
        </w:rPr>
        <w:t xml:space="preserve">Figure </w:t>
      </w:r>
      <w:r w:rsidR="00361230" w:rsidRPr="00361230">
        <w:rPr>
          <w:rFonts w:ascii="Times New Roman" w:hAnsi="Times New Roman"/>
          <w:sz w:val="24"/>
          <w:szCs w:val="24"/>
          <w:lang w:val="en-US"/>
        </w:rPr>
        <w:t>9</w:t>
      </w:r>
      <w:r w:rsidRPr="00141BED">
        <w:rPr>
          <w:rFonts w:ascii="Times New Roman" w:hAnsi="Times New Roman"/>
          <w:sz w:val="24"/>
          <w:szCs w:val="24"/>
          <w:lang w:val="en-US"/>
        </w:rPr>
        <w:t xml:space="preserve"> – diagrams of the radial growth rate of Scots pine in the </w:t>
      </w:r>
      <w:r w:rsidRPr="00141BED">
        <w:rPr>
          <w:rFonts w:ascii="Times New Roman" w:eastAsia="Times New Roman" w:hAnsi="Times New Roman"/>
          <w:sz w:val="24"/>
          <w:szCs w:val="24"/>
          <w:lang w:val="en-US" w:eastAsia="ru-RU"/>
        </w:rPr>
        <w:t>"Burabay" SNNP</w:t>
      </w:r>
      <w:r w:rsidRPr="00141BED">
        <w:rPr>
          <w:rFonts w:ascii="Times New Roman" w:hAnsi="Times New Roman"/>
          <w:sz w:val="24"/>
          <w:szCs w:val="24"/>
          <w:lang w:val="en-US"/>
        </w:rPr>
        <w:t xml:space="preserve"> on the test plot</w:t>
      </w:r>
    </w:p>
    <w:p w:rsidR="006F2F0A" w:rsidRPr="00141BED" w:rsidRDefault="006F2F0A" w:rsidP="00141BED">
      <w:pPr>
        <w:spacing w:after="0" w:line="360" w:lineRule="auto"/>
        <w:ind w:firstLine="567"/>
        <w:jc w:val="both"/>
        <w:rPr>
          <w:rFonts w:ascii="Times New Roman" w:hAnsi="Times New Roman"/>
          <w:sz w:val="24"/>
          <w:szCs w:val="24"/>
          <w:lang w:val="en-US"/>
        </w:rPr>
      </w:pPr>
    </w:p>
    <w:p w:rsidR="00A820F1" w:rsidRPr="00141BED" w:rsidRDefault="00321A9A"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According to figure 1</w:t>
      </w:r>
      <w:r w:rsidR="00361230" w:rsidRPr="00361230">
        <w:rPr>
          <w:rFonts w:ascii="Times New Roman" w:hAnsi="Times New Roman"/>
          <w:sz w:val="24"/>
          <w:szCs w:val="24"/>
          <w:lang w:val="en-US"/>
        </w:rPr>
        <w:t>0</w:t>
      </w:r>
      <w:r w:rsidRPr="00141BED">
        <w:rPr>
          <w:rFonts w:ascii="Times New Roman" w:hAnsi="Times New Roman"/>
          <w:sz w:val="24"/>
          <w:szCs w:val="24"/>
          <w:lang w:val="en-US"/>
        </w:rPr>
        <w:t xml:space="preserve">, significant differences in the indices of radial growth of pine in thickened pine stands of dry growing conditions of the </w:t>
      </w:r>
      <w:r w:rsidRPr="00141BED">
        <w:rPr>
          <w:rFonts w:ascii="Times New Roman" w:eastAsia="Times New Roman" w:hAnsi="Times New Roman"/>
          <w:sz w:val="24"/>
          <w:szCs w:val="24"/>
          <w:lang w:val="en-US" w:eastAsia="ru-RU"/>
        </w:rPr>
        <w:t>"Burabay" SNNP</w:t>
      </w:r>
      <w:r w:rsidRPr="00141BED">
        <w:rPr>
          <w:rFonts w:ascii="Times New Roman" w:hAnsi="Times New Roman"/>
          <w:sz w:val="24"/>
          <w:szCs w:val="24"/>
          <w:lang w:val="en-US"/>
        </w:rPr>
        <w:t xml:space="preserve"> were established between the site with tending felling with a strong thinning intensity and control in the time periods from 1947 to 1955, from 1961 to 1970, from 1981 to 1990 and from 1995 to 2015. The obtained data indicate a positive effect of tending felling with a strong thinning intensity on the increase in the radial growth of pine trees in the pine forests under consideration.</w:t>
      </w:r>
    </w:p>
    <w:p w:rsidR="00A820F1" w:rsidRPr="00141BED" w:rsidRDefault="00A820F1" w:rsidP="00141BED">
      <w:pPr>
        <w:spacing w:after="0" w:line="360" w:lineRule="auto"/>
        <w:rPr>
          <w:rFonts w:ascii="Times New Roman" w:hAnsi="Times New Roman"/>
          <w:sz w:val="24"/>
          <w:szCs w:val="24"/>
          <w:lang w:val="en-US"/>
        </w:rPr>
      </w:pPr>
    </w:p>
    <w:p w:rsidR="00102B53" w:rsidRPr="00141BED" w:rsidRDefault="00102B53" w:rsidP="00141BED">
      <w:pPr>
        <w:spacing w:after="0" w:line="360" w:lineRule="auto"/>
        <w:rPr>
          <w:rFonts w:ascii="Times New Roman" w:hAnsi="Times New Roman"/>
          <w:sz w:val="24"/>
          <w:szCs w:val="24"/>
        </w:rPr>
      </w:pPr>
      <w:r w:rsidRPr="00141BED">
        <w:rPr>
          <w:rFonts w:ascii="Times New Roman" w:hAnsi="Times New Roman"/>
          <w:noProof/>
          <w:sz w:val="24"/>
          <w:szCs w:val="24"/>
          <w:lang w:eastAsia="ru-RU"/>
        </w:rPr>
        <w:lastRenderedPageBreak/>
        <w:drawing>
          <wp:inline distT="0" distB="0" distL="0" distR="0" wp14:anchorId="239F6DD9" wp14:editId="3645EA43">
            <wp:extent cx="5890260" cy="249618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20F1" w:rsidRPr="00141BED" w:rsidRDefault="003C3C80"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Figure 1</w:t>
      </w:r>
      <w:r w:rsidR="00361230" w:rsidRPr="00361230">
        <w:rPr>
          <w:rFonts w:ascii="Times New Roman" w:hAnsi="Times New Roman"/>
          <w:sz w:val="24"/>
          <w:szCs w:val="24"/>
          <w:lang w:val="en-US"/>
        </w:rPr>
        <w:t>0</w:t>
      </w:r>
      <w:r w:rsidRPr="00141BED">
        <w:rPr>
          <w:rFonts w:ascii="Times New Roman" w:hAnsi="Times New Roman"/>
          <w:sz w:val="24"/>
          <w:szCs w:val="24"/>
          <w:lang w:val="en-US"/>
        </w:rPr>
        <w:t xml:space="preserve"> – </w:t>
      </w:r>
      <w:r w:rsidR="001C4554" w:rsidRPr="00141BED">
        <w:rPr>
          <w:rFonts w:ascii="Times New Roman" w:hAnsi="Times New Roman"/>
          <w:sz w:val="24"/>
          <w:szCs w:val="24"/>
          <w:lang w:val="en-US"/>
        </w:rPr>
        <w:t>Indices</w:t>
      </w:r>
      <w:r w:rsidRPr="00141BED">
        <w:rPr>
          <w:rFonts w:ascii="Times New Roman" w:hAnsi="Times New Roman"/>
          <w:sz w:val="24"/>
          <w:szCs w:val="24"/>
          <w:lang w:val="en-US"/>
        </w:rPr>
        <w:t xml:space="preserve"> of radial growth of pine trees in the </w:t>
      </w:r>
      <w:r w:rsidRPr="00141BED">
        <w:rPr>
          <w:rFonts w:ascii="Times New Roman" w:eastAsia="Times New Roman" w:hAnsi="Times New Roman"/>
          <w:sz w:val="24"/>
          <w:szCs w:val="24"/>
          <w:lang w:val="en-US" w:eastAsia="ru-RU"/>
        </w:rPr>
        <w:t>"Burabay" SNNP</w:t>
      </w:r>
      <w:r w:rsidRPr="00141BED">
        <w:rPr>
          <w:rFonts w:ascii="Times New Roman" w:hAnsi="Times New Roman"/>
          <w:sz w:val="24"/>
          <w:szCs w:val="24"/>
          <w:lang w:val="en-US"/>
        </w:rPr>
        <w:t xml:space="preserve"> using the cubic spline function</w:t>
      </w:r>
    </w:p>
    <w:p w:rsidR="00A820F1" w:rsidRPr="00141BED" w:rsidRDefault="00A820F1" w:rsidP="00141BED">
      <w:pPr>
        <w:spacing w:after="0" w:line="360" w:lineRule="auto"/>
        <w:ind w:firstLine="567"/>
        <w:jc w:val="both"/>
        <w:rPr>
          <w:rFonts w:ascii="Times New Roman" w:hAnsi="Times New Roman"/>
          <w:sz w:val="24"/>
          <w:szCs w:val="24"/>
          <w:lang w:val="en-US"/>
        </w:rPr>
      </w:pPr>
    </w:p>
    <w:p w:rsidR="00E77D82" w:rsidRPr="00141BED" w:rsidRDefault="00E77D82" w:rsidP="00141BED">
      <w:pPr>
        <w:spacing w:after="0" w:line="360" w:lineRule="auto"/>
        <w:ind w:firstLine="567"/>
        <w:jc w:val="both"/>
        <w:rPr>
          <w:rFonts w:ascii="Times New Roman" w:eastAsia="Andale Sans UI" w:hAnsi="Times New Roman"/>
          <w:kern w:val="3"/>
          <w:sz w:val="24"/>
          <w:szCs w:val="24"/>
          <w:lang w:val="en-US" w:eastAsia="ja-JP" w:bidi="fa-IR"/>
        </w:rPr>
      </w:pPr>
      <w:r w:rsidRPr="00141BED">
        <w:rPr>
          <w:rFonts w:ascii="Times New Roman" w:eastAsia="Andale Sans UI" w:hAnsi="Times New Roman"/>
          <w:kern w:val="3"/>
          <w:sz w:val="24"/>
          <w:szCs w:val="24"/>
          <w:lang w:val="en-US" w:eastAsia="ja-JP" w:bidi="fa-IR"/>
        </w:rPr>
        <w:t>As a result of the dendroclimatic analysis, the peculiarities of the influence of climatic factors (temperature and precipitation) on the width of the annual ring of pine trees on the studied triel plots for tending felling were noted. The control shows a close relationship between the width of the annual ring and the te</w:t>
      </w:r>
      <w:r w:rsidR="00F814AA" w:rsidRPr="00141BED">
        <w:rPr>
          <w:rFonts w:ascii="Times New Roman" w:eastAsia="Andale Sans UI" w:hAnsi="Times New Roman"/>
          <w:kern w:val="3"/>
          <w:sz w:val="24"/>
          <w:szCs w:val="24"/>
          <w:lang w:val="en-US" w:eastAsia="ja-JP" w:bidi="fa-IR"/>
        </w:rPr>
        <w:t>mperature and precipitation in M</w:t>
      </w:r>
      <w:r w:rsidRPr="00141BED">
        <w:rPr>
          <w:rFonts w:ascii="Times New Roman" w:eastAsia="Andale Sans UI" w:hAnsi="Times New Roman"/>
          <w:kern w:val="3"/>
          <w:sz w:val="24"/>
          <w:szCs w:val="24"/>
          <w:lang w:val="en-US" w:eastAsia="ja-JP" w:bidi="fa-IR"/>
        </w:rPr>
        <w:t>ay-June. A slightly different picture is observed in the TP with high thinning intensity of tending felling, where there is a close relationship between the analyzed indicator and the temperature and precipitatio</w:t>
      </w:r>
      <w:r w:rsidR="00F814AA" w:rsidRPr="00141BED">
        <w:rPr>
          <w:rFonts w:ascii="Times New Roman" w:eastAsia="Andale Sans UI" w:hAnsi="Times New Roman"/>
          <w:kern w:val="3"/>
          <w:sz w:val="24"/>
          <w:szCs w:val="24"/>
          <w:lang w:val="en-US" w:eastAsia="ja-JP" w:bidi="fa-IR"/>
        </w:rPr>
        <w:t>n in M</w:t>
      </w:r>
      <w:r w:rsidRPr="00141BED">
        <w:rPr>
          <w:rFonts w:ascii="Times New Roman" w:eastAsia="Andale Sans UI" w:hAnsi="Times New Roman"/>
          <w:kern w:val="3"/>
          <w:sz w:val="24"/>
          <w:szCs w:val="24"/>
          <w:lang w:val="en-US" w:eastAsia="ja-JP" w:bidi="fa-IR"/>
        </w:rPr>
        <w:t xml:space="preserve">ay and the absence of a reliable influence of temperature and precipitation in June over the past 18 years. </w:t>
      </w:r>
    </w:p>
    <w:p w:rsidR="00E77D82" w:rsidRPr="00141BED" w:rsidRDefault="00E77D82" w:rsidP="00141BED">
      <w:pPr>
        <w:widowControl w:val="0"/>
        <w:suppressAutoHyphens/>
        <w:autoSpaceDN w:val="0"/>
        <w:spacing w:after="0" w:line="360" w:lineRule="auto"/>
        <w:ind w:firstLine="567"/>
        <w:jc w:val="both"/>
        <w:textAlignment w:val="baseline"/>
        <w:rPr>
          <w:rFonts w:ascii="Times New Roman" w:eastAsia="Andale Sans UI" w:hAnsi="Times New Roman"/>
          <w:kern w:val="3"/>
          <w:sz w:val="24"/>
          <w:szCs w:val="24"/>
          <w:lang w:val="en-US" w:eastAsia="ja-JP" w:bidi="fa-IR"/>
        </w:rPr>
      </w:pPr>
      <w:r w:rsidRPr="00141BED">
        <w:rPr>
          <w:rFonts w:ascii="Times New Roman" w:eastAsia="Andale Sans UI" w:hAnsi="Times New Roman"/>
          <w:kern w:val="3"/>
          <w:sz w:val="24"/>
          <w:szCs w:val="24"/>
          <w:lang w:val="en-US" w:eastAsia="ja-JP" w:bidi="fa-IR"/>
        </w:rPr>
        <w:t>It can be noted that both sections show a decrease in the influence of July temperature and precipitation on the width of the annual ring over the past 15-18 years. At the same time, the relationship of the analyzed indicators is statistically significant in the previous 20 years.</w:t>
      </w:r>
    </w:p>
    <w:p w:rsidR="00E77D82" w:rsidRPr="00141BED" w:rsidRDefault="00E77D82" w:rsidP="00141BED">
      <w:pPr>
        <w:spacing w:after="0" w:line="360" w:lineRule="auto"/>
        <w:ind w:firstLine="567"/>
        <w:jc w:val="both"/>
        <w:rPr>
          <w:rFonts w:ascii="Times New Roman" w:eastAsia="Andale Sans UI" w:hAnsi="Times New Roman"/>
          <w:kern w:val="3"/>
          <w:sz w:val="24"/>
          <w:szCs w:val="24"/>
          <w:lang w:val="en-US" w:eastAsia="ja-JP" w:bidi="fa-IR"/>
        </w:rPr>
      </w:pPr>
      <w:r w:rsidRPr="00141BED">
        <w:rPr>
          <w:rFonts w:ascii="Times New Roman" w:eastAsia="Andale Sans UI" w:hAnsi="Times New Roman"/>
          <w:kern w:val="3"/>
          <w:sz w:val="24"/>
          <w:szCs w:val="24"/>
          <w:lang w:val="en-US" w:eastAsia="ja-JP" w:bidi="fa-IR"/>
        </w:rPr>
        <w:t>The presented data on the relationship between the width of the annual ring of pine trees and the temperature and precipitation in may and June are confirmed by a statistically reliable correlation of the considered indicators - the limiting value of the correlation coefficient r=±0.23, the value of which is sufficient and acceptable for dendroclimatic analysis in this region.</w:t>
      </w:r>
    </w:p>
    <w:p w:rsidR="00A820F1" w:rsidRPr="00141BED" w:rsidRDefault="006131F5"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Consider the growth of Scots pine over the years on the site with t</w:t>
      </w:r>
      <w:r w:rsidR="0094118F" w:rsidRPr="00141BED">
        <w:rPr>
          <w:rFonts w:ascii="Times New Roman" w:hAnsi="Times New Roman"/>
          <w:sz w:val="24"/>
          <w:szCs w:val="24"/>
          <w:lang w:val="en-US"/>
        </w:rPr>
        <w:t xml:space="preserve">ending felling (P1) in the </w:t>
      </w:r>
      <w:r w:rsidRPr="00141BED">
        <w:rPr>
          <w:rFonts w:ascii="Times New Roman" w:hAnsi="Times New Roman"/>
          <w:sz w:val="24"/>
          <w:szCs w:val="24"/>
          <w:lang w:val="en-US"/>
        </w:rPr>
        <w:t>"Semey ormany"</w:t>
      </w:r>
      <w:r w:rsidR="0094118F" w:rsidRPr="00141BED">
        <w:rPr>
          <w:rFonts w:ascii="Times New Roman" w:hAnsi="Times New Roman"/>
          <w:sz w:val="24"/>
          <w:szCs w:val="24"/>
          <w:lang w:val="en-US"/>
        </w:rPr>
        <w:t xml:space="preserve"> </w:t>
      </w:r>
      <w:r w:rsidR="0094118F" w:rsidRPr="00141BED">
        <w:rPr>
          <w:rFonts w:ascii="Times New Roman" w:eastAsia="Times New Roman" w:hAnsi="Times New Roman"/>
          <w:sz w:val="24"/>
          <w:szCs w:val="24"/>
          <w:lang w:val="en-US" w:eastAsia="ru-RU"/>
        </w:rPr>
        <w:t>SFNR</w:t>
      </w:r>
      <w:r w:rsidRPr="00141BED">
        <w:rPr>
          <w:rFonts w:ascii="Times New Roman" w:hAnsi="Times New Roman"/>
          <w:sz w:val="24"/>
          <w:szCs w:val="24"/>
          <w:lang w:val="en-US"/>
        </w:rPr>
        <w:t>. To determine the normality of the distribution of this feature across groups, Shapiro-Wilk statistics were executed (figure 1</w:t>
      </w:r>
      <w:r w:rsidR="00361230" w:rsidRPr="00361230">
        <w:rPr>
          <w:rFonts w:ascii="Times New Roman" w:hAnsi="Times New Roman"/>
          <w:sz w:val="24"/>
          <w:szCs w:val="24"/>
          <w:lang w:val="en-US"/>
        </w:rPr>
        <w:t>1</w:t>
      </w:r>
      <w:r w:rsidRPr="00141BED">
        <w:rPr>
          <w:rFonts w:ascii="Times New Roman" w:hAnsi="Times New Roman"/>
          <w:sz w:val="24"/>
          <w:szCs w:val="24"/>
          <w:lang w:val="en-US"/>
        </w:rPr>
        <w:t>). The histogram shows that the distribution is normal, which is confirmed by the normal distribution curve (IEW=0.7377; p=0.000).</w:t>
      </w:r>
    </w:p>
    <w:p w:rsidR="003C0669" w:rsidRPr="00141BED" w:rsidRDefault="003C0669" w:rsidP="00141BED">
      <w:pPr>
        <w:spacing w:after="0" w:line="360" w:lineRule="auto"/>
        <w:ind w:firstLine="567"/>
        <w:jc w:val="center"/>
        <w:rPr>
          <w:rFonts w:ascii="Times New Roman" w:hAnsi="Times New Roman"/>
          <w:noProof/>
          <w:sz w:val="24"/>
          <w:szCs w:val="24"/>
          <w:lang w:eastAsia="ru-RU"/>
        </w:rPr>
      </w:pPr>
      <w:r w:rsidRPr="00141BED">
        <w:rPr>
          <w:rFonts w:ascii="Times New Roman" w:hAnsi="Times New Roman"/>
          <w:noProof/>
          <w:sz w:val="24"/>
          <w:szCs w:val="24"/>
          <w:lang w:eastAsia="ru-RU"/>
        </w:rPr>
        <w:lastRenderedPageBreak/>
        <w:drawing>
          <wp:inline distT="0" distB="0" distL="0" distR="0" wp14:anchorId="3338CA4F" wp14:editId="24B5F47E">
            <wp:extent cx="3212465" cy="2364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r="30342" b="31624"/>
                    <a:stretch>
                      <a:fillRect/>
                    </a:stretch>
                  </pic:blipFill>
                  <pic:spPr bwMode="auto">
                    <a:xfrm>
                      <a:off x="0" y="0"/>
                      <a:ext cx="3212465" cy="2364105"/>
                    </a:xfrm>
                    <a:prstGeom prst="rect">
                      <a:avLst/>
                    </a:prstGeom>
                    <a:noFill/>
                    <a:ln>
                      <a:noFill/>
                    </a:ln>
                  </pic:spPr>
                </pic:pic>
              </a:graphicData>
            </a:graphic>
          </wp:inline>
        </w:drawing>
      </w:r>
    </w:p>
    <w:p w:rsidR="00A820F1" w:rsidRPr="00141BED" w:rsidRDefault="00A820F1" w:rsidP="00141BED">
      <w:pPr>
        <w:spacing w:after="0" w:line="360" w:lineRule="auto"/>
        <w:ind w:firstLine="567"/>
        <w:jc w:val="center"/>
        <w:rPr>
          <w:rFonts w:ascii="Times New Roman" w:hAnsi="Times New Roman"/>
          <w:noProof/>
          <w:sz w:val="24"/>
          <w:szCs w:val="24"/>
          <w:lang w:val="en-US" w:eastAsia="ru-RU"/>
        </w:rPr>
      </w:pPr>
    </w:p>
    <w:p w:rsidR="0094118F" w:rsidRPr="00141BED" w:rsidRDefault="0094118F" w:rsidP="00141BED">
      <w:pPr>
        <w:spacing w:after="0" w:line="360" w:lineRule="auto"/>
        <w:ind w:firstLine="567"/>
        <w:jc w:val="center"/>
        <w:rPr>
          <w:rFonts w:ascii="Times New Roman" w:hAnsi="Times New Roman"/>
          <w:sz w:val="24"/>
          <w:szCs w:val="24"/>
          <w:lang w:val="en-US"/>
        </w:rPr>
      </w:pPr>
      <w:r w:rsidRPr="00141BED">
        <w:rPr>
          <w:rFonts w:ascii="Times New Roman" w:hAnsi="Times New Roman"/>
          <w:sz w:val="24"/>
          <w:szCs w:val="24"/>
          <w:lang w:val="en-US"/>
        </w:rPr>
        <w:t>Figure 1</w:t>
      </w:r>
      <w:r w:rsidR="00361230" w:rsidRPr="00361230">
        <w:rPr>
          <w:rFonts w:ascii="Times New Roman" w:hAnsi="Times New Roman"/>
          <w:sz w:val="24"/>
          <w:szCs w:val="24"/>
          <w:lang w:val="en-US"/>
        </w:rPr>
        <w:t>1</w:t>
      </w:r>
      <w:r w:rsidRPr="00141BED">
        <w:rPr>
          <w:rFonts w:ascii="Times New Roman" w:hAnsi="Times New Roman"/>
          <w:sz w:val="24"/>
          <w:szCs w:val="24"/>
          <w:lang w:val="en-US"/>
        </w:rPr>
        <w:t xml:space="preserve"> – </w:t>
      </w:r>
      <w:r w:rsidR="001C4554" w:rsidRPr="00141BED">
        <w:rPr>
          <w:rFonts w:ascii="Times New Roman" w:hAnsi="Times New Roman"/>
          <w:sz w:val="24"/>
          <w:szCs w:val="24"/>
          <w:lang w:val="en-US"/>
        </w:rPr>
        <w:t>Normality</w:t>
      </w:r>
      <w:r w:rsidRPr="00141BED">
        <w:rPr>
          <w:rFonts w:ascii="Times New Roman" w:hAnsi="Times New Roman"/>
          <w:sz w:val="24"/>
          <w:szCs w:val="24"/>
          <w:lang w:val="en-US"/>
        </w:rPr>
        <w:t xml:space="preserve"> of the distribution of radial growth of Scots pine</w:t>
      </w:r>
    </w:p>
    <w:p w:rsidR="0094118F" w:rsidRPr="00141BED" w:rsidRDefault="0094118F" w:rsidP="00141BED">
      <w:pPr>
        <w:spacing w:after="0" w:line="360" w:lineRule="auto"/>
        <w:ind w:firstLine="567"/>
        <w:jc w:val="both"/>
        <w:rPr>
          <w:rFonts w:ascii="Times New Roman" w:hAnsi="Times New Roman"/>
          <w:sz w:val="24"/>
          <w:szCs w:val="24"/>
          <w:lang w:val="en-US"/>
        </w:rPr>
      </w:pPr>
    </w:p>
    <w:p w:rsidR="00A820F1" w:rsidRPr="00AB5692" w:rsidRDefault="0094118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diameter at the time of research on the control was 13.1 cm, on the test plot – 15.0 cm. The value of the average radial increase before the high – intensity tending felling was 8.6% higher than the same indicator at the control, and after the tending felling -by 58.0%. Although the average indicators for all the years of observation on the test plot were 13.2% higher than on the control area, the acceleration of tree growth after tending felling is clearly noticeable, when the growth increased by more than 2 times (figure 1</w:t>
      </w:r>
      <w:r w:rsidR="00361230" w:rsidRPr="00361230">
        <w:rPr>
          <w:rFonts w:ascii="Times New Roman" w:hAnsi="Times New Roman"/>
          <w:sz w:val="24"/>
          <w:szCs w:val="24"/>
          <w:lang w:val="en-US"/>
        </w:rPr>
        <w:t>2</w:t>
      </w:r>
      <w:r w:rsidRPr="00141BED">
        <w:rPr>
          <w:rFonts w:ascii="Times New Roman" w:hAnsi="Times New Roman"/>
          <w:sz w:val="24"/>
          <w:szCs w:val="24"/>
          <w:lang w:val="en-US"/>
        </w:rPr>
        <w:t>).</w:t>
      </w:r>
    </w:p>
    <w:p w:rsidR="00361230" w:rsidRPr="00AB5692" w:rsidRDefault="00361230" w:rsidP="00141BED">
      <w:pPr>
        <w:spacing w:after="0" w:line="360" w:lineRule="auto"/>
        <w:ind w:firstLine="567"/>
        <w:jc w:val="both"/>
        <w:rPr>
          <w:rFonts w:ascii="Times New Roman" w:hAnsi="Times New Roman"/>
          <w:sz w:val="24"/>
          <w:szCs w:val="24"/>
          <w:lang w:val="en-US"/>
        </w:rPr>
      </w:pPr>
    </w:p>
    <w:p w:rsidR="00A820F1" w:rsidRPr="00141BED" w:rsidRDefault="003C0669" w:rsidP="00141BED">
      <w:pPr>
        <w:spacing w:after="0" w:line="360" w:lineRule="auto"/>
        <w:jc w:val="center"/>
        <w:rPr>
          <w:rFonts w:ascii="Times New Roman" w:hAnsi="Times New Roman"/>
          <w:sz w:val="24"/>
          <w:szCs w:val="24"/>
          <w:lang w:val="en-US"/>
        </w:rPr>
      </w:pPr>
      <w:r w:rsidRPr="00141BED">
        <w:rPr>
          <w:rFonts w:ascii="Times New Roman" w:hAnsi="Times New Roman"/>
          <w:noProof/>
          <w:sz w:val="24"/>
          <w:szCs w:val="24"/>
          <w:lang w:eastAsia="ru-RU"/>
        </w:rPr>
        <w:drawing>
          <wp:inline distT="0" distB="0" distL="0" distR="0" wp14:anchorId="73715DA9" wp14:editId="5F231F11">
            <wp:extent cx="5947410" cy="220789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20F1" w:rsidRPr="00141BED" w:rsidRDefault="00D63C4D"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Figure 1</w:t>
      </w:r>
      <w:r w:rsidR="00361230" w:rsidRPr="00361230">
        <w:rPr>
          <w:rFonts w:ascii="Times New Roman" w:hAnsi="Times New Roman"/>
          <w:sz w:val="24"/>
          <w:szCs w:val="24"/>
          <w:lang w:val="en-US"/>
        </w:rPr>
        <w:t>2</w:t>
      </w:r>
      <w:r w:rsidRPr="00141BED">
        <w:rPr>
          <w:rFonts w:ascii="Times New Roman" w:hAnsi="Times New Roman"/>
          <w:sz w:val="24"/>
          <w:szCs w:val="24"/>
          <w:lang w:val="en-US"/>
        </w:rPr>
        <w:t xml:space="preserve"> – </w:t>
      </w:r>
      <w:r w:rsidR="001C4554" w:rsidRPr="00141BED">
        <w:rPr>
          <w:rFonts w:ascii="Times New Roman" w:hAnsi="Times New Roman"/>
          <w:sz w:val="24"/>
          <w:szCs w:val="24"/>
          <w:lang w:val="en-US"/>
        </w:rPr>
        <w:t xml:space="preserve">Dendrochronology </w:t>
      </w:r>
      <w:r w:rsidRPr="00141BED">
        <w:rPr>
          <w:rFonts w:ascii="Times New Roman" w:hAnsi="Times New Roman"/>
          <w:sz w:val="24"/>
          <w:szCs w:val="24"/>
          <w:lang w:val="en-US"/>
        </w:rPr>
        <w:t xml:space="preserve">of pine forests </w:t>
      </w:r>
      <w:r w:rsidR="00384138" w:rsidRPr="00141BED">
        <w:rPr>
          <w:rFonts w:ascii="Times New Roman" w:hAnsi="Times New Roman"/>
          <w:sz w:val="24"/>
          <w:szCs w:val="24"/>
          <w:lang w:val="en-US"/>
        </w:rPr>
        <w:t>"Semey ormany”</w:t>
      </w:r>
      <w:r w:rsidRPr="00141BED">
        <w:rPr>
          <w:rFonts w:ascii="Times New Roman" w:hAnsi="Times New Roman"/>
          <w:sz w:val="24"/>
          <w:szCs w:val="24"/>
          <w:lang w:val="en-US"/>
        </w:rPr>
        <w:t xml:space="preserve"> </w:t>
      </w:r>
      <w:r w:rsidRPr="00141BED">
        <w:rPr>
          <w:rFonts w:ascii="Times New Roman" w:eastAsia="Times New Roman" w:hAnsi="Times New Roman"/>
          <w:sz w:val="24"/>
          <w:szCs w:val="24"/>
          <w:lang w:val="en-US" w:eastAsia="ru-RU"/>
        </w:rPr>
        <w:t>SFNR</w:t>
      </w:r>
    </w:p>
    <w:p w:rsidR="00A820F1" w:rsidRPr="00141BED" w:rsidRDefault="00A820F1" w:rsidP="00141BED">
      <w:pPr>
        <w:spacing w:after="0" w:line="360" w:lineRule="auto"/>
        <w:ind w:firstLine="567"/>
        <w:jc w:val="both"/>
        <w:rPr>
          <w:rFonts w:ascii="Times New Roman" w:hAnsi="Times New Roman"/>
          <w:sz w:val="24"/>
          <w:szCs w:val="24"/>
          <w:lang w:val="en-US"/>
        </w:rPr>
      </w:pPr>
    </w:p>
    <w:p w:rsidR="00361230" w:rsidRPr="00141BED" w:rsidRDefault="00D63C4D" w:rsidP="00361230">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Statistical data on growth in plantings are shown in table 4</w:t>
      </w:r>
      <w:r w:rsidR="00A820F1" w:rsidRPr="00141BED">
        <w:rPr>
          <w:rFonts w:ascii="Times New Roman" w:hAnsi="Times New Roman"/>
          <w:sz w:val="24"/>
          <w:szCs w:val="24"/>
          <w:lang w:val="en-US"/>
        </w:rPr>
        <w:t>.</w:t>
      </w:r>
      <w:r w:rsidR="00361230" w:rsidRPr="00361230">
        <w:rPr>
          <w:rFonts w:ascii="Times New Roman" w:hAnsi="Times New Roman"/>
          <w:sz w:val="24"/>
          <w:szCs w:val="24"/>
          <w:lang w:val="en-US"/>
        </w:rPr>
        <w:t xml:space="preserve"> </w:t>
      </w:r>
      <w:r w:rsidR="00361230" w:rsidRPr="00141BED">
        <w:rPr>
          <w:rFonts w:ascii="Times New Roman" w:hAnsi="Times New Roman"/>
          <w:sz w:val="24"/>
          <w:szCs w:val="24"/>
          <w:lang w:val="en-US"/>
        </w:rPr>
        <w:t>Indicators of growth of trees in the control were considered in the period before and after logging on the test plot. The obtained differences are statistically significant (tfact=2.4 at t0</w:t>
      </w:r>
      <w:proofErr w:type="gramStart"/>
      <w:r w:rsidR="00361230" w:rsidRPr="00141BED">
        <w:rPr>
          <w:rFonts w:ascii="Times New Roman" w:hAnsi="Times New Roman"/>
          <w:sz w:val="24"/>
          <w:szCs w:val="24"/>
          <w:lang w:val="en-US"/>
        </w:rPr>
        <w:t>,05</w:t>
      </w:r>
      <w:proofErr w:type="gramEnd"/>
      <w:r w:rsidR="00361230" w:rsidRPr="00141BED">
        <w:rPr>
          <w:rFonts w:ascii="Times New Roman" w:hAnsi="Times New Roman"/>
          <w:sz w:val="24"/>
          <w:szCs w:val="24"/>
          <w:lang w:val="en-US"/>
        </w:rPr>
        <w:t xml:space="preserve">=2.1). </w:t>
      </w:r>
    </w:p>
    <w:p w:rsidR="00A820F1" w:rsidRPr="00141BED" w:rsidRDefault="00A820F1" w:rsidP="00141BED">
      <w:pPr>
        <w:spacing w:after="0" w:line="360" w:lineRule="auto"/>
        <w:ind w:firstLine="567"/>
        <w:jc w:val="both"/>
        <w:rPr>
          <w:rFonts w:ascii="Times New Roman" w:hAnsi="Times New Roman"/>
          <w:sz w:val="24"/>
          <w:szCs w:val="24"/>
          <w:lang w:val="en-US"/>
        </w:rPr>
      </w:pPr>
    </w:p>
    <w:p w:rsidR="00A820F1" w:rsidRPr="00141BED" w:rsidRDefault="00D63C4D"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lastRenderedPageBreak/>
        <w:t xml:space="preserve">Table 4 – Average statistical indicators of growth of Scots pine for the periods before and after logging in the "Semey ormany» </w:t>
      </w:r>
      <w:r w:rsidRPr="00141BED">
        <w:rPr>
          <w:rFonts w:ascii="Times New Roman" w:eastAsia="Times New Roman" w:hAnsi="Times New Roman"/>
          <w:sz w:val="24"/>
          <w:szCs w:val="24"/>
          <w:lang w:val="en-US" w:eastAsia="ru-RU"/>
        </w:rPr>
        <w:t>SFNR</w:t>
      </w:r>
    </w:p>
    <w:tbl>
      <w:tblPr>
        <w:tblW w:w="957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2043"/>
        <w:gridCol w:w="1559"/>
        <w:gridCol w:w="992"/>
        <w:gridCol w:w="934"/>
        <w:gridCol w:w="1075"/>
        <w:gridCol w:w="1439"/>
      </w:tblGrid>
      <w:tr w:rsidR="00141BED" w:rsidRPr="00141BED" w:rsidTr="000D2E00">
        <w:trPr>
          <w:trHeight w:val="136"/>
        </w:trPr>
        <w:tc>
          <w:tcPr>
            <w:tcW w:w="1528" w:type="dxa"/>
            <w:vMerge w:val="restart"/>
          </w:tcPr>
          <w:p w:rsidR="00A820F1" w:rsidRPr="00141BED" w:rsidRDefault="00B54A25" w:rsidP="00361230">
            <w:pPr>
              <w:spacing w:after="0" w:line="240" w:lineRule="auto"/>
              <w:ind w:firstLine="32"/>
              <w:jc w:val="center"/>
              <w:rPr>
                <w:rFonts w:ascii="Times New Roman" w:hAnsi="Times New Roman"/>
                <w:sz w:val="24"/>
                <w:szCs w:val="24"/>
                <w:lang w:val="en-US"/>
              </w:rPr>
            </w:pPr>
            <w:r w:rsidRPr="00141BED">
              <w:rPr>
                <w:rFonts w:ascii="Times New Roman" w:hAnsi="Times New Roman"/>
                <w:sz w:val="24"/>
                <w:szCs w:val="24"/>
                <w:lang w:val="en-US"/>
              </w:rPr>
              <w:t>Period</w:t>
            </w:r>
          </w:p>
        </w:tc>
        <w:tc>
          <w:tcPr>
            <w:tcW w:w="2043" w:type="dxa"/>
            <w:vMerge w:val="restart"/>
          </w:tcPr>
          <w:p w:rsidR="00A820F1" w:rsidRPr="00141BED" w:rsidRDefault="00B54A25" w:rsidP="00361230">
            <w:pPr>
              <w:spacing w:after="0" w:line="240" w:lineRule="auto"/>
              <w:ind w:firstLine="32"/>
              <w:jc w:val="center"/>
              <w:rPr>
                <w:rFonts w:ascii="Times New Roman" w:hAnsi="Times New Roman"/>
                <w:sz w:val="24"/>
                <w:szCs w:val="24"/>
                <w:lang w:val="en-US"/>
              </w:rPr>
            </w:pPr>
            <w:r w:rsidRPr="00141BED">
              <w:rPr>
                <w:rFonts w:ascii="Times New Roman" w:hAnsi="Times New Roman"/>
                <w:sz w:val="24"/>
                <w:szCs w:val="24"/>
                <w:lang w:val="en-US"/>
              </w:rPr>
              <w:t>Name</w:t>
            </w:r>
          </w:p>
        </w:tc>
        <w:tc>
          <w:tcPr>
            <w:tcW w:w="5999" w:type="dxa"/>
            <w:gridSpan w:val="5"/>
          </w:tcPr>
          <w:p w:rsidR="00A820F1" w:rsidRPr="00141BED" w:rsidRDefault="00B54A25" w:rsidP="00361230">
            <w:pPr>
              <w:spacing w:after="0" w:line="240" w:lineRule="auto"/>
              <w:ind w:firstLine="32"/>
              <w:jc w:val="center"/>
              <w:rPr>
                <w:rFonts w:ascii="Times New Roman" w:hAnsi="Times New Roman"/>
                <w:sz w:val="24"/>
                <w:szCs w:val="24"/>
              </w:rPr>
            </w:pPr>
            <w:r w:rsidRPr="00141BED">
              <w:rPr>
                <w:rFonts w:ascii="Times New Roman" w:hAnsi="Times New Roman"/>
                <w:sz w:val="24"/>
                <w:szCs w:val="24"/>
              </w:rPr>
              <w:t>Statistical indicator</w:t>
            </w:r>
          </w:p>
        </w:tc>
      </w:tr>
      <w:tr w:rsidR="00141BED" w:rsidRPr="00141BED" w:rsidTr="000D2E00">
        <w:trPr>
          <w:trHeight w:val="173"/>
        </w:trPr>
        <w:tc>
          <w:tcPr>
            <w:tcW w:w="1528" w:type="dxa"/>
            <w:vMerge/>
          </w:tcPr>
          <w:p w:rsidR="00A820F1" w:rsidRPr="00141BED" w:rsidRDefault="00A820F1" w:rsidP="00361230">
            <w:pPr>
              <w:spacing w:after="0" w:line="240" w:lineRule="auto"/>
              <w:ind w:firstLine="32"/>
              <w:jc w:val="center"/>
              <w:rPr>
                <w:rFonts w:ascii="Times New Roman" w:hAnsi="Times New Roman"/>
                <w:sz w:val="24"/>
                <w:szCs w:val="24"/>
              </w:rPr>
            </w:pPr>
          </w:p>
        </w:tc>
        <w:tc>
          <w:tcPr>
            <w:tcW w:w="2043" w:type="dxa"/>
            <w:vMerge/>
          </w:tcPr>
          <w:p w:rsidR="00A820F1" w:rsidRPr="00141BED" w:rsidRDefault="00A820F1" w:rsidP="00361230">
            <w:pPr>
              <w:spacing w:after="0" w:line="240" w:lineRule="auto"/>
              <w:ind w:firstLine="32"/>
              <w:jc w:val="center"/>
              <w:rPr>
                <w:rFonts w:ascii="Times New Roman" w:hAnsi="Times New Roman"/>
                <w:sz w:val="24"/>
                <w:szCs w:val="24"/>
              </w:rPr>
            </w:pPr>
          </w:p>
        </w:tc>
        <w:tc>
          <w:tcPr>
            <w:tcW w:w="1559" w:type="dxa"/>
          </w:tcPr>
          <w:p w:rsidR="00A820F1" w:rsidRPr="00141BED" w:rsidRDefault="00B54A25" w:rsidP="00361230">
            <w:pPr>
              <w:spacing w:after="0" w:line="240" w:lineRule="auto"/>
              <w:ind w:firstLine="32"/>
              <w:jc w:val="center"/>
              <w:rPr>
                <w:rFonts w:ascii="Times New Roman" w:hAnsi="Times New Roman"/>
                <w:sz w:val="24"/>
                <w:szCs w:val="24"/>
              </w:rPr>
            </w:pPr>
            <w:r w:rsidRPr="00141BED">
              <w:rPr>
                <w:rFonts w:ascii="Times New Roman" w:hAnsi="Times New Roman"/>
                <w:sz w:val="24"/>
                <w:szCs w:val="24"/>
              </w:rPr>
              <w:t>average ± error, cm</w:t>
            </w:r>
          </w:p>
        </w:tc>
        <w:tc>
          <w:tcPr>
            <w:tcW w:w="992" w:type="dxa"/>
          </w:tcPr>
          <w:p w:rsidR="00A820F1" w:rsidRPr="00141BED" w:rsidRDefault="00B54A25" w:rsidP="00361230">
            <w:pPr>
              <w:spacing w:after="0" w:line="240" w:lineRule="auto"/>
              <w:ind w:firstLine="32"/>
              <w:jc w:val="center"/>
              <w:rPr>
                <w:rFonts w:ascii="Times New Roman" w:hAnsi="Times New Roman"/>
                <w:sz w:val="24"/>
                <w:szCs w:val="24"/>
              </w:rPr>
            </w:pPr>
            <w:r w:rsidRPr="00141BED">
              <w:rPr>
                <w:rFonts w:ascii="Times New Roman" w:hAnsi="Times New Roman"/>
                <w:sz w:val="24"/>
                <w:szCs w:val="24"/>
                <w:lang w:val="en-US"/>
              </w:rPr>
              <w:t>minimum</w:t>
            </w:r>
          </w:p>
        </w:tc>
        <w:tc>
          <w:tcPr>
            <w:tcW w:w="934" w:type="dxa"/>
          </w:tcPr>
          <w:p w:rsidR="00A820F1" w:rsidRPr="00141BED" w:rsidRDefault="00B54A25" w:rsidP="00361230">
            <w:pPr>
              <w:spacing w:after="0" w:line="240" w:lineRule="auto"/>
              <w:ind w:firstLine="32"/>
              <w:jc w:val="center"/>
              <w:rPr>
                <w:rFonts w:ascii="Times New Roman" w:hAnsi="Times New Roman"/>
                <w:sz w:val="24"/>
                <w:szCs w:val="24"/>
              </w:rPr>
            </w:pPr>
            <w:r w:rsidRPr="00141BED">
              <w:rPr>
                <w:rFonts w:ascii="Times New Roman" w:hAnsi="Times New Roman"/>
                <w:sz w:val="24"/>
                <w:szCs w:val="24"/>
              </w:rPr>
              <w:t>maximum</w:t>
            </w:r>
          </w:p>
        </w:tc>
        <w:tc>
          <w:tcPr>
            <w:tcW w:w="1075" w:type="dxa"/>
          </w:tcPr>
          <w:p w:rsidR="00A820F1" w:rsidRPr="00141BED" w:rsidRDefault="00B54A25" w:rsidP="00361230">
            <w:pPr>
              <w:spacing w:after="0" w:line="240" w:lineRule="auto"/>
              <w:ind w:firstLine="32"/>
              <w:jc w:val="center"/>
              <w:rPr>
                <w:rFonts w:ascii="Times New Roman" w:hAnsi="Times New Roman"/>
                <w:sz w:val="24"/>
                <w:szCs w:val="24"/>
              </w:rPr>
            </w:pPr>
            <w:r w:rsidRPr="00141BED">
              <w:rPr>
                <w:rFonts w:ascii="Times New Roman" w:hAnsi="Times New Roman"/>
                <w:sz w:val="24"/>
                <w:szCs w:val="24"/>
                <w:lang w:val="en-US"/>
              </w:rPr>
              <w:t>s</w:t>
            </w:r>
            <w:r w:rsidRPr="00141BED">
              <w:rPr>
                <w:rFonts w:ascii="Times New Roman" w:hAnsi="Times New Roman"/>
                <w:sz w:val="24"/>
                <w:szCs w:val="24"/>
              </w:rPr>
              <w:t>t.deviation</w:t>
            </w:r>
          </w:p>
        </w:tc>
        <w:tc>
          <w:tcPr>
            <w:tcW w:w="1439" w:type="dxa"/>
          </w:tcPr>
          <w:p w:rsidR="00A820F1" w:rsidRPr="00141BED" w:rsidRDefault="00B54A25" w:rsidP="00361230">
            <w:pPr>
              <w:spacing w:after="0" w:line="240" w:lineRule="auto"/>
              <w:ind w:firstLine="32"/>
              <w:jc w:val="center"/>
              <w:rPr>
                <w:rFonts w:ascii="Times New Roman" w:hAnsi="Times New Roman"/>
                <w:sz w:val="24"/>
                <w:szCs w:val="24"/>
                <w:lang w:val="en-US"/>
              </w:rPr>
            </w:pPr>
            <w:proofErr w:type="gramStart"/>
            <w:r w:rsidRPr="00141BED">
              <w:rPr>
                <w:rFonts w:ascii="Times New Roman" w:hAnsi="Times New Roman"/>
                <w:sz w:val="24"/>
                <w:szCs w:val="24"/>
                <w:lang w:val="en-US"/>
              </w:rPr>
              <w:t>coef</w:t>
            </w:r>
            <w:proofErr w:type="gramEnd"/>
            <w:r w:rsidRPr="00141BED">
              <w:rPr>
                <w:rFonts w:ascii="Times New Roman" w:hAnsi="Times New Roman"/>
                <w:sz w:val="24"/>
                <w:szCs w:val="24"/>
                <w:lang w:val="en-US"/>
              </w:rPr>
              <w:t xml:space="preserve">. </w:t>
            </w:r>
            <w:r w:rsidR="00F814AA" w:rsidRPr="00141BED">
              <w:rPr>
                <w:rFonts w:ascii="Times New Roman" w:hAnsi="Times New Roman"/>
                <w:sz w:val="24"/>
                <w:szCs w:val="24"/>
                <w:lang w:val="en-US"/>
              </w:rPr>
              <w:t>o</w:t>
            </w:r>
            <w:r w:rsidRPr="00141BED">
              <w:rPr>
                <w:rFonts w:ascii="Times New Roman" w:hAnsi="Times New Roman"/>
                <w:sz w:val="24"/>
                <w:szCs w:val="24"/>
                <w:lang w:val="en-US"/>
              </w:rPr>
              <w:t>f variations</w:t>
            </w:r>
            <w:r w:rsidR="00A820F1" w:rsidRPr="00141BED">
              <w:rPr>
                <w:rFonts w:ascii="Times New Roman" w:hAnsi="Times New Roman"/>
                <w:sz w:val="24"/>
                <w:szCs w:val="24"/>
                <w:lang w:val="en-US"/>
              </w:rPr>
              <w:t>, %</w:t>
            </w:r>
          </w:p>
        </w:tc>
      </w:tr>
      <w:tr w:rsidR="00141BED" w:rsidRPr="00141BED" w:rsidTr="00165AA4">
        <w:trPr>
          <w:trHeight w:val="173"/>
        </w:trPr>
        <w:tc>
          <w:tcPr>
            <w:tcW w:w="1528" w:type="dxa"/>
            <w:vMerge w:val="restart"/>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hAnsi="Times New Roman"/>
                <w:sz w:val="24"/>
                <w:szCs w:val="24"/>
              </w:rPr>
              <w:t>1978-2010</w:t>
            </w:r>
          </w:p>
        </w:tc>
        <w:tc>
          <w:tcPr>
            <w:tcW w:w="2043" w:type="dxa"/>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hAnsi="Times New Roman"/>
                <w:sz w:val="24"/>
                <w:szCs w:val="24"/>
              </w:rPr>
              <w:t>Пробная площадь</w:t>
            </w:r>
          </w:p>
        </w:tc>
        <w:tc>
          <w:tcPr>
            <w:tcW w:w="1559"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1,00±0,05</w:t>
            </w:r>
          </w:p>
        </w:tc>
        <w:tc>
          <w:tcPr>
            <w:tcW w:w="992"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0,51</w:t>
            </w:r>
          </w:p>
        </w:tc>
        <w:tc>
          <w:tcPr>
            <w:tcW w:w="934"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1,59</w:t>
            </w:r>
          </w:p>
        </w:tc>
        <w:tc>
          <w:tcPr>
            <w:tcW w:w="1075"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0,29</w:t>
            </w:r>
          </w:p>
        </w:tc>
        <w:tc>
          <w:tcPr>
            <w:tcW w:w="1439" w:type="dxa"/>
            <w:vAlign w:val="center"/>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eastAsia="Times New Roman" w:hAnsi="Times New Roman"/>
                <w:sz w:val="24"/>
                <w:szCs w:val="24"/>
                <w:lang w:eastAsia="ru-RU"/>
              </w:rPr>
              <w:t>29,75</w:t>
            </w:r>
          </w:p>
        </w:tc>
      </w:tr>
      <w:tr w:rsidR="00141BED" w:rsidRPr="00141BED" w:rsidTr="00165AA4">
        <w:trPr>
          <w:trHeight w:val="173"/>
        </w:trPr>
        <w:tc>
          <w:tcPr>
            <w:tcW w:w="1528" w:type="dxa"/>
            <w:vMerge/>
          </w:tcPr>
          <w:p w:rsidR="00D54CD1" w:rsidRPr="00141BED" w:rsidRDefault="00D54CD1" w:rsidP="00361230">
            <w:pPr>
              <w:spacing w:after="0" w:line="240" w:lineRule="auto"/>
              <w:ind w:firstLine="32"/>
              <w:jc w:val="both"/>
              <w:rPr>
                <w:rFonts w:ascii="Times New Roman" w:hAnsi="Times New Roman"/>
                <w:sz w:val="24"/>
                <w:szCs w:val="24"/>
              </w:rPr>
            </w:pPr>
          </w:p>
        </w:tc>
        <w:tc>
          <w:tcPr>
            <w:tcW w:w="2043" w:type="dxa"/>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hAnsi="Times New Roman"/>
                <w:sz w:val="24"/>
                <w:szCs w:val="24"/>
              </w:rPr>
              <w:t>Контроль</w:t>
            </w:r>
          </w:p>
        </w:tc>
        <w:tc>
          <w:tcPr>
            <w:tcW w:w="1559"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1,07±0,06</w:t>
            </w:r>
          </w:p>
        </w:tc>
        <w:tc>
          <w:tcPr>
            <w:tcW w:w="992"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0,52</w:t>
            </w:r>
          </w:p>
        </w:tc>
        <w:tc>
          <w:tcPr>
            <w:tcW w:w="934"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1,80</w:t>
            </w:r>
          </w:p>
        </w:tc>
        <w:tc>
          <w:tcPr>
            <w:tcW w:w="1075"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0,33</w:t>
            </w:r>
          </w:p>
        </w:tc>
        <w:tc>
          <w:tcPr>
            <w:tcW w:w="1439" w:type="dxa"/>
            <w:vAlign w:val="center"/>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eastAsia="Times New Roman" w:hAnsi="Times New Roman"/>
                <w:sz w:val="24"/>
                <w:szCs w:val="24"/>
                <w:lang w:eastAsia="ru-RU"/>
              </w:rPr>
              <w:t>31,03</w:t>
            </w:r>
          </w:p>
        </w:tc>
      </w:tr>
      <w:tr w:rsidR="00141BED" w:rsidRPr="00141BED" w:rsidTr="00165AA4">
        <w:trPr>
          <w:trHeight w:val="173"/>
        </w:trPr>
        <w:tc>
          <w:tcPr>
            <w:tcW w:w="1528" w:type="dxa"/>
            <w:vMerge w:val="restart"/>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hAnsi="Times New Roman"/>
                <w:sz w:val="24"/>
                <w:szCs w:val="24"/>
              </w:rPr>
              <w:t>2011-2017</w:t>
            </w:r>
          </w:p>
        </w:tc>
        <w:tc>
          <w:tcPr>
            <w:tcW w:w="2043" w:type="dxa"/>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hAnsi="Times New Roman"/>
                <w:sz w:val="24"/>
                <w:szCs w:val="24"/>
              </w:rPr>
              <w:t>Пробная площадь</w:t>
            </w:r>
          </w:p>
        </w:tc>
        <w:tc>
          <w:tcPr>
            <w:tcW w:w="1559"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1,04±0,11</w:t>
            </w:r>
          </w:p>
        </w:tc>
        <w:tc>
          <w:tcPr>
            <w:tcW w:w="992"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0,54</w:t>
            </w:r>
          </w:p>
        </w:tc>
        <w:tc>
          <w:tcPr>
            <w:tcW w:w="934"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1,58</w:t>
            </w:r>
          </w:p>
        </w:tc>
        <w:tc>
          <w:tcPr>
            <w:tcW w:w="1075"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0,35</w:t>
            </w:r>
          </w:p>
        </w:tc>
        <w:tc>
          <w:tcPr>
            <w:tcW w:w="1439" w:type="dxa"/>
            <w:vAlign w:val="center"/>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eastAsia="Times New Roman" w:hAnsi="Times New Roman"/>
                <w:sz w:val="24"/>
                <w:szCs w:val="24"/>
                <w:lang w:eastAsia="ru-RU"/>
              </w:rPr>
              <w:t>34,37</w:t>
            </w:r>
          </w:p>
        </w:tc>
      </w:tr>
      <w:tr w:rsidR="00141BED" w:rsidRPr="00141BED" w:rsidTr="00165AA4">
        <w:trPr>
          <w:trHeight w:val="173"/>
        </w:trPr>
        <w:tc>
          <w:tcPr>
            <w:tcW w:w="1528" w:type="dxa"/>
            <w:vMerge/>
          </w:tcPr>
          <w:p w:rsidR="00D54CD1" w:rsidRPr="00141BED" w:rsidRDefault="00D54CD1" w:rsidP="00361230">
            <w:pPr>
              <w:spacing w:after="0" w:line="240" w:lineRule="auto"/>
              <w:ind w:firstLine="32"/>
              <w:jc w:val="both"/>
              <w:rPr>
                <w:rFonts w:ascii="Times New Roman" w:hAnsi="Times New Roman"/>
                <w:sz w:val="24"/>
                <w:szCs w:val="24"/>
              </w:rPr>
            </w:pPr>
          </w:p>
        </w:tc>
        <w:tc>
          <w:tcPr>
            <w:tcW w:w="2043" w:type="dxa"/>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hAnsi="Times New Roman"/>
                <w:sz w:val="24"/>
                <w:szCs w:val="24"/>
              </w:rPr>
              <w:t>Контроль</w:t>
            </w:r>
          </w:p>
        </w:tc>
        <w:tc>
          <w:tcPr>
            <w:tcW w:w="1559"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0,76±0,07</w:t>
            </w:r>
          </w:p>
        </w:tc>
        <w:tc>
          <w:tcPr>
            <w:tcW w:w="992"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0,46</w:t>
            </w:r>
          </w:p>
        </w:tc>
        <w:tc>
          <w:tcPr>
            <w:tcW w:w="934"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1,20</w:t>
            </w:r>
          </w:p>
        </w:tc>
        <w:tc>
          <w:tcPr>
            <w:tcW w:w="1075" w:type="dxa"/>
            <w:vAlign w:val="center"/>
          </w:tcPr>
          <w:p w:rsidR="00D54CD1" w:rsidRPr="00141BED" w:rsidRDefault="00D54CD1" w:rsidP="00361230">
            <w:pPr>
              <w:spacing w:after="0" w:line="240" w:lineRule="auto"/>
              <w:ind w:firstLine="32"/>
              <w:jc w:val="both"/>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0,21</w:t>
            </w:r>
          </w:p>
        </w:tc>
        <w:tc>
          <w:tcPr>
            <w:tcW w:w="1439" w:type="dxa"/>
            <w:vAlign w:val="center"/>
          </w:tcPr>
          <w:p w:rsidR="00D54CD1" w:rsidRPr="00141BED" w:rsidRDefault="00D54CD1" w:rsidP="00361230">
            <w:pPr>
              <w:spacing w:after="0" w:line="240" w:lineRule="auto"/>
              <w:ind w:firstLine="32"/>
              <w:jc w:val="both"/>
              <w:rPr>
                <w:rFonts w:ascii="Times New Roman" w:hAnsi="Times New Roman"/>
                <w:sz w:val="24"/>
                <w:szCs w:val="24"/>
              </w:rPr>
            </w:pPr>
            <w:r w:rsidRPr="00141BED">
              <w:rPr>
                <w:rFonts w:ascii="Times New Roman" w:eastAsia="Times New Roman" w:hAnsi="Times New Roman"/>
                <w:sz w:val="24"/>
                <w:szCs w:val="24"/>
                <w:lang w:eastAsia="ru-RU"/>
              </w:rPr>
              <w:t>28,63</w:t>
            </w:r>
          </w:p>
        </w:tc>
      </w:tr>
    </w:tbl>
    <w:p w:rsidR="00A820F1" w:rsidRPr="00141BED" w:rsidRDefault="00A820F1" w:rsidP="00141BED">
      <w:pPr>
        <w:spacing w:after="0" w:line="360" w:lineRule="auto"/>
        <w:ind w:firstLine="567"/>
        <w:jc w:val="both"/>
        <w:rPr>
          <w:rFonts w:ascii="Times New Roman" w:hAnsi="Times New Roman"/>
          <w:sz w:val="24"/>
          <w:szCs w:val="24"/>
          <w:lang w:val="en-US"/>
        </w:rPr>
      </w:pPr>
    </w:p>
    <w:p w:rsidR="00361230" w:rsidRPr="00141BED" w:rsidRDefault="00361230" w:rsidP="00361230">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There are no differences in the values of the annual ring width between the compared sections for the period preceding the tending felling (tfact=0.7 at t0</w:t>
      </w:r>
      <w:proofErr w:type="gramStart"/>
      <w:r w:rsidRPr="00141BED">
        <w:rPr>
          <w:rFonts w:ascii="Times New Roman" w:hAnsi="Times New Roman"/>
          <w:sz w:val="24"/>
          <w:szCs w:val="24"/>
          <w:lang w:val="en-US"/>
        </w:rPr>
        <w:t>,05</w:t>
      </w:r>
      <w:proofErr w:type="gramEnd"/>
      <w:r w:rsidRPr="00141BED">
        <w:rPr>
          <w:rFonts w:ascii="Times New Roman" w:hAnsi="Times New Roman"/>
          <w:sz w:val="24"/>
          <w:szCs w:val="24"/>
          <w:lang w:val="en-US"/>
        </w:rPr>
        <w:t>=2.00). There are no significant differences between the diameters of pine trees in the control and the section with the tending felling carried out (tact=1.6 at t0.05=2.1), which indicates that the influence of this indicator on the values of the radial growth is excluded.</w:t>
      </w:r>
    </w:p>
    <w:p w:rsidR="000B1B16" w:rsidRPr="00141BED" w:rsidRDefault="000B1B1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Increases in the trial plot varied at an elevated level before tending felling (29.75%) and at a high level (34.37%) after tending felling. In the control, the coefficient of variation changed at a high level.</w:t>
      </w:r>
    </w:p>
    <w:p w:rsidR="00A820F1" w:rsidRPr="00141BED" w:rsidRDefault="00D54CD1" w:rsidP="00141BED">
      <w:pPr>
        <w:spacing w:after="0" w:line="360" w:lineRule="auto"/>
        <w:ind w:firstLine="567"/>
        <w:jc w:val="both"/>
        <w:rPr>
          <w:rFonts w:ascii="Times New Roman" w:hAnsi="Times New Roman"/>
          <w:noProof/>
          <w:sz w:val="24"/>
          <w:szCs w:val="24"/>
          <w:lang w:val="en-US" w:eastAsia="ru-RU"/>
        </w:rPr>
      </w:pPr>
      <w:proofErr w:type="gramStart"/>
      <w:r w:rsidRPr="00141BED">
        <w:rPr>
          <w:rFonts w:ascii="Times New Roman" w:hAnsi="Times New Roman"/>
          <w:sz w:val="24"/>
          <w:szCs w:val="24"/>
          <w:lang w:val="en-US"/>
        </w:rPr>
        <w:t>S</w:t>
      </w:r>
      <w:r w:rsidR="000B1B16" w:rsidRPr="00141BED">
        <w:rPr>
          <w:rFonts w:ascii="Times New Roman" w:hAnsi="Times New Roman"/>
          <w:sz w:val="24"/>
          <w:szCs w:val="24"/>
          <w:lang w:val="en-US"/>
        </w:rPr>
        <w:t>hows that after tending felling, the radial increments in the trial plot were greater than in the control area for the same period.</w:t>
      </w:r>
      <w:proofErr w:type="gramEnd"/>
      <w:r w:rsidR="000B1B16" w:rsidRPr="00141BED">
        <w:rPr>
          <w:rFonts w:ascii="Times New Roman" w:hAnsi="Times New Roman"/>
          <w:sz w:val="24"/>
          <w:szCs w:val="24"/>
          <w:lang w:val="en-US"/>
        </w:rPr>
        <w:t xml:space="preserve"> The maximum values of this feature were 1.58 mm, while the control for the period after tending felling on the sample area was 1.20 mm.</w:t>
      </w:r>
    </w:p>
    <w:p w:rsidR="00A820F1" w:rsidRPr="00AB5692" w:rsidRDefault="00384138" w:rsidP="00141BED">
      <w:pPr>
        <w:spacing w:after="0" w:line="360" w:lineRule="auto"/>
        <w:ind w:firstLine="567"/>
        <w:rPr>
          <w:rFonts w:ascii="Times New Roman" w:hAnsi="Times New Roman"/>
          <w:sz w:val="24"/>
          <w:szCs w:val="24"/>
          <w:lang w:val="en-US"/>
        </w:rPr>
      </w:pPr>
      <w:r w:rsidRPr="00141BED">
        <w:rPr>
          <w:rFonts w:ascii="Times New Roman" w:hAnsi="Times New Roman"/>
          <w:sz w:val="24"/>
          <w:szCs w:val="24"/>
          <w:lang w:val="en-US"/>
        </w:rPr>
        <w:t xml:space="preserve">In the dry pine forests of the "Semey ormany" SFNR (figure </w:t>
      </w:r>
      <w:r w:rsidR="00976E86" w:rsidRPr="00976E86">
        <w:rPr>
          <w:rFonts w:ascii="Times New Roman" w:hAnsi="Times New Roman"/>
          <w:sz w:val="24"/>
          <w:szCs w:val="24"/>
          <w:lang w:val="en-US"/>
        </w:rPr>
        <w:t>13</w:t>
      </w:r>
      <w:r w:rsidRPr="00141BED">
        <w:rPr>
          <w:rFonts w:ascii="Times New Roman" w:hAnsi="Times New Roman"/>
          <w:sz w:val="24"/>
          <w:szCs w:val="24"/>
          <w:lang w:val="en-US"/>
        </w:rPr>
        <w:t>) on the TP with moderate tending felling intensity, there is a significant excess of the radial growth indices over the control, according to which it would be possible to draw conclusions about the positive effect of the tending felling.</w:t>
      </w:r>
    </w:p>
    <w:p w:rsidR="00976E86" w:rsidRPr="00141BED" w:rsidRDefault="00976E86" w:rsidP="00976E86">
      <w:pPr>
        <w:widowControl w:val="0"/>
        <w:suppressAutoHyphens/>
        <w:autoSpaceDN w:val="0"/>
        <w:spacing w:after="0" w:line="360" w:lineRule="auto"/>
        <w:ind w:firstLine="567"/>
        <w:jc w:val="both"/>
        <w:textAlignment w:val="baseline"/>
        <w:rPr>
          <w:rFonts w:ascii="Times New Roman" w:hAnsi="Times New Roman"/>
          <w:sz w:val="24"/>
          <w:szCs w:val="24"/>
          <w:lang w:val="en-US"/>
        </w:rPr>
      </w:pPr>
      <w:r w:rsidRPr="00141BED">
        <w:rPr>
          <w:rFonts w:ascii="Times New Roman" w:hAnsi="Times New Roman"/>
          <w:sz w:val="24"/>
          <w:szCs w:val="24"/>
          <w:lang w:val="en-US"/>
        </w:rPr>
        <w:t>However, it should be noted that the detected excess of growth indices on the TP with the conducted TF is observed throughout the entire period of pine growth. According to figure 20, it is clear that pine trees develop along different regional curves, although the studied stands with tending felling and control grow in adjacent areas, and according to the forest management data – with similar taxation characteristics, identical in the method and year of planting. In this case, the length of pine chronologies used in the analysis is not sufficient for data reliability. Therefore, it is impossible to assert a positive effect of the moderate intencity of tending felling on the radial growth of pine trees growing in dry conditions of the SFNR "Semey Ormany". Further research is needed on this issue.</w:t>
      </w:r>
    </w:p>
    <w:p w:rsidR="00976E86" w:rsidRPr="00976E86" w:rsidRDefault="00976E86" w:rsidP="00141BED">
      <w:pPr>
        <w:spacing w:after="0" w:line="360" w:lineRule="auto"/>
        <w:ind w:firstLine="567"/>
        <w:rPr>
          <w:rFonts w:ascii="Times New Roman" w:hAnsi="Times New Roman"/>
          <w:sz w:val="24"/>
          <w:szCs w:val="24"/>
        </w:rPr>
      </w:pPr>
    </w:p>
    <w:p w:rsidR="00D54CD1" w:rsidRPr="00141BED" w:rsidRDefault="00D54CD1" w:rsidP="00141BED">
      <w:pPr>
        <w:spacing w:after="0" w:line="360" w:lineRule="auto"/>
        <w:rPr>
          <w:rFonts w:ascii="Times New Roman" w:hAnsi="Times New Roman"/>
          <w:sz w:val="24"/>
          <w:szCs w:val="24"/>
        </w:rPr>
      </w:pPr>
      <w:r w:rsidRPr="00141BED">
        <w:rPr>
          <w:rFonts w:ascii="Times New Roman" w:hAnsi="Times New Roman"/>
          <w:noProof/>
          <w:sz w:val="24"/>
          <w:szCs w:val="24"/>
          <w:lang w:eastAsia="ru-RU"/>
        </w:rPr>
        <w:drawing>
          <wp:inline distT="0" distB="0" distL="0" distR="0" wp14:anchorId="616BC6FC" wp14:editId="7EBD9C64">
            <wp:extent cx="5873750" cy="228981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20F1" w:rsidRPr="00141BED" w:rsidRDefault="00A820F1" w:rsidP="00141BED">
      <w:pPr>
        <w:spacing w:after="0" w:line="360" w:lineRule="auto"/>
        <w:jc w:val="center"/>
        <w:rPr>
          <w:rFonts w:ascii="Times New Roman" w:hAnsi="Times New Roman"/>
          <w:sz w:val="24"/>
          <w:szCs w:val="24"/>
          <w:lang w:val="en-US"/>
        </w:rPr>
      </w:pPr>
    </w:p>
    <w:p w:rsidR="00A820F1" w:rsidRPr="00141BED" w:rsidRDefault="00384138"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 xml:space="preserve">Figure </w:t>
      </w:r>
      <w:r w:rsidR="00976E86" w:rsidRPr="00976E86">
        <w:rPr>
          <w:rFonts w:ascii="Times New Roman" w:hAnsi="Times New Roman"/>
          <w:sz w:val="24"/>
          <w:szCs w:val="24"/>
          <w:lang w:val="en-US"/>
        </w:rPr>
        <w:t>13</w:t>
      </w:r>
      <w:r w:rsidRPr="00141BED">
        <w:rPr>
          <w:rFonts w:ascii="Times New Roman" w:hAnsi="Times New Roman"/>
          <w:sz w:val="24"/>
          <w:szCs w:val="24"/>
          <w:lang w:val="en-US"/>
        </w:rPr>
        <w:t xml:space="preserve"> </w:t>
      </w:r>
      <w:r w:rsidR="001C4554" w:rsidRPr="00141BED">
        <w:rPr>
          <w:rFonts w:ascii="Times New Roman" w:hAnsi="Times New Roman"/>
          <w:sz w:val="24"/>
          <w:szCs w:val="24"/>
          <w:lang w:val="en-US"/>
        </w:rPr>
        <w:t xml:space="preserve">– Indices </w:t>
      </w:r>
      <w:r w:rsidRPr="00141BED">
        <w:rPr>
          <w:rFonts w:ascii="Times New Roman" w:hAnsi="Times New Roman"/>
          <w:sz w:val="24"/>
          <w:szCs w:val="24"/>
          <w:lang w:val="en-US"/>
        </w:rPr>
        <w:t xml:space="preserve">of radial growth of pine trees in the “Burabay” </w:t>
      </w:r>
      <w:r w:rsidRPr="00141BED">
        <w:rPr>
          <w:rFonts w:ascii="Times New Roman" w:eastAsia="Times New Roman" w:hAnsi="Times New Roman"/>
          <w:sz w:val="24"/>
          <w:szCs w:val="24"/>
          <w:lang w:val="en-US" w:eastAsia="ru-RU"/>
        </w:rPr>
        <w:t>SNNP</w:t>
      </w:r>
      <w:r w:rsidRPr="00141BED">
        <w:rPr>
          <w:rFonts w:ascii="Times New Roman" w:hAnsi="Times New Roman"/>
          <w:sz w:val="24"/>
          <w:szCs w:val="24"/>
          <w:lang w:val="en-US"/>
        </w:rPr>
        <w:t xml:space="preserve"> using the cubic spline function</w:t>
      </w:r>
    </w:p>
    <w:p w:rsidR="00384138" w:rsidRPr="00141BED" w:rsidRDefault="00384138" w:rsidP="00141BED">
      <w:pPr>
        <w:spacing w:after="0" w:line="360" w:lineRule="auto"/>
        <w:jc w:val="center"/>
        <w:rPr>
          <w:rFonts w:ascii="Times New Roman" w:hAnsi="Times New Roman"/>
          <w:sz w:val="24"/>
          <w:szCs w:val="24"/>
          <w:lang w:val="en-US"/>
        </w:rPr>
      </w:pPr>
    </w:p>
    <w:p w:rsidR="00A820F1" w:rsidRPr="00141BED" w:rsidRDefault="00093D1C" w:rsidP="00141BED">
      <w:pPr>
        <w:spacing w:after="0" w:line="360" w:lineRule="auto"/>
        <w:ind w:firstLine="709"/>
        <w:jc w:val="both"/>
        <w:rPr>
          <w:rFonts w:ascii="Times New Roman" w:eastAsia="Times New Roman" w:hAnsi="Times New Roman"/>
          <w:sz w:val="24"/>
          <w:szCs w:val="24"/>
          <w:lang w:val="en-US" w:eastAsia="ar-SA"/>
        </w:rPr>
      </w:pPr>
      <w:r w:rsidRPr="00141BED">
        <w:rPr>
          <w:rFonts w:ascii="Times New Roman" w:eastAsia="Andale Sans UI" w:hAnsi="Times New Roman"/>
          <w:kern w:val="3"/>
          <w:sz w:val="24"/>
          <w:szCs w:val="24"/>
          <w:lang w:val="en-US" w:eastAsia="ja-JP" w:bidi="fa-IR"/>
        </w:rPr>
        <w:t xml:space="preserve">Data analysis shows that in the dry pine forests of SFNR "Semey ormany" both in the control and in the sample with moderate tending felling intensity, there is a strong correlation between the temperature of </w:t>
      </w:r>
      <w:r w:rsidR="00F814AA" w:rsidRPr="00141BED">
        <w:rPr>
          <w:rFonts w:ascii="Times New Roman" w:eastAsia="Andale Sans UI" w:hAnsi="Times New Roman"/>
          <w:kern w:val="3"/>
          <w:sz w:val="24"/>
          <w:szCs w:val="24"/>
          <w:lang w:val="en-US" w:eastAsia="ja-JP" w:bidi="fa-IR"/>
        </w:rPr>
        <w:t>June-July and precipitation in M</w:t>
      </w:r>
      <w:r w:rsidRPr="00141BED">
        <w:rPr>
          <w:rFonts w:ascii="Times New Roman" w:eastAsia="Andale Sans UI" w:hAnsi="Times New Roman"/>
          <w:kern w:val="3"/>
          <w:sz w:val="24"/>
          <w:szCs w:val="24"/>
          <w:lang w:val="en-US" w:eastAsia="ja-JP" w:bidi="fa-IR"/>
        </w:rPr>
        <w:t>ay-June with the width of the annual ring, which is confirmed by a statistically reliable correlation of these indicators (the limiting value of the correlation coefficient r=±0.40).</w:t>
      </w:r>
    </w:p>
    <w:p w:rsidR="00093D1C" w:rsidRPr="00141BED" w:rsidRDefault="00A820F1" w:rsidP="00141BED">
      <w:pPr>
        <w:spacing w:after="0"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 xml:space="preserve">3.4 </w:t>
      </w:r>
      <w:r w:rsidR="00093D1C" w:rsidRPr="00141BED">
        <w:rPr>
          <w:rFonts w:ascii="Times New Roman" w:eastAsia="Times New Roman" w:hAnsi="Times New Roman"/>
          <w:sz w:val="24"/>
          <w:szCs w:val="24"/>
          <w:lang w:val="kk-KZ" w:eastAsia="ar-SA"/>
        </w:rPr>
        <w:t>Study of the influence of astrophysical factors (cyclical solar activity) on the formation of radial growth of Scots pine wood</w:t>
      </w:r>
    </w:p>
    <w:p w:rsidR="00A820F1" w:rsidRPr="00141BED" w:rsidRDefault="00093D1C" w:rsidP="00141BED">
      <w:pPr>
        <w:spacing w:after="0" w:line="360" w:lineRule="auto"/>
        <w:ind w:firstLine="709"/>
        <w:jc w:val="both"/>
        <w:rPr>
          <w:rFonts w:ascii="Times New Roman" w:hAnsi="Times New Roman"/>
          <w:sz w:val="24"/>
          <w:szCs w:val="24"/>
          <w:lang w:val="en-US"/>
        </w:rPr>
      </w:pPr>
      <w:r w:rsidRPr="00141BED">
        <w:rPr>
          <w:rFonts w:ascii="Times New Roman" w:eastAsia="Times New Roman" w:hAnsi="Times New Roman"/>
          <w:sz w:val="24"/>
          <w:szCs w:val="24"/>
          <w:lang w:val="kk-KZ" w:eastAsia="ar-SA"/>
        </w:rPr>
        <w:t>Dendrochronological analysis was performed on the sample area in the natural pine forests "Burabay</w:t>
      </w:r>
      <w:r w:rsidR="00F86993" w:rsidRPr="00141BED">
        <w:rPr>
          <w:rFonts w:ascii="Times New Roman" w:eastAsia="Times New Roman" w:hAnsi="Times New Roman"/>
          <w:sz w:val="24"/>
          <w:szCs w:val="24"/>
          <w:lang w:val="kk-KZ" w:eastAsia="ar-SA"/>
        </w:rPr>
        <w:t>" SNNP without any intervention.</w:t>
      </w:r>
    </w:p>
    <w:p w:rsidR="00A820F1" w:rsidRPr="00AB5692" w:rsidRDefault="00A86143"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We have divided a series of data on the minimum radial growth of pine into several stages that characterize the duration of different cycles of pine growth (figure </w:t>
      </w:r>
      <w:r w:rsidR="00976E86" w:rsidRPr="00976E86">
        <w:rPr>
          <w:rFonts w:ascii="Times New Roman" w:hAnsi="Times New Roman"/>
          <w:sz w:val="24"/>
          <w:szCs w:val="24"/>
          <w:lang w:val="en-US"/>
        </w:rPr>
        <w:t>14</w:t>
      </w:r>
      <w:r w:rsidRPr="00141BED">
        <w:rPr>
          <w:rFonts w:ascii="Times New Roman" w:hAnsi="Times New Roman"/>
          <w:sz w:val="24"/>
          <w:szCs w:val="24"/>
          <w:lang w:val="en-US"/>
        </w:rPr>
        <w:t>). The first stage of intensive growth lasted from 1925 to 1937 (12 years), the second – from 1938 to 1953 (15 years), the next – to 1967 (13 years), etc. Approximately the entire dendrogram can be divided into 7 stages, each extending from 15 to 9 years.</w:t>
      </w:r>
    </w:p>
    <w:p w:rsidR="00976E86" w:rsidRPr="00141BED" w:rsidRDefault="00976E86" w:rsidP="00976E86">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radial growth of pine trees in the years of maximum solar activity was 0.88 mm, in the years of minimum - 0.68 mm. The difference in growth between the high and low periods was 22.3%.</w:t>
      </w:r>
    </w:p>
    <w:p w:rsidR="00976E86" w:rsidRPr="00976E86" w:rsidRDefault="00976E86" w:rsidP="00141BED">
      <w:pPr>
        <w:spacing w:after="0" w:line="360" w:lineRule="auto"/>
        <w:ind w:firstLine="567"/>
        <w:jc w:val="both"/>
        <w:rPr>
          <w:rFonts w:ascii="Times New Roman" w:hAnsi="Times New Roman"/>
          <w:sz w:val="24"/>
          <w:szCs w:val="24"/>
          <w:lang w:val="en-US"/>
        </w:rPr>
      </w:pPr>
    </w:p>
    <w:p w:rsidR="00F86993" w:rsidRPr="00141BED" w:rsidRDefault="00F86993" w:rsidP="00141BED">
      <w:pPr>
        <w:spacing w:after="0" w:line="360" w:lineRule="auto"/>
        <w:jc w:val="center"/>
        <w:rPr>
          <w:rFonts w:ascii="Times New Roman" w:hAnsi="Times New Roman"/>
          <w:sz w:val="24"/>
          <w:szCs w:val="24"/>
        </w:rPr>
      </w:pPr>
      <w:r w:rsidRPr="00141BED">
        <w:rPr>
          <w:rFonts w:ascii="Times New Roman" w:hAnsi="Times New Roman"/>
          <w:noProof/>
          <w:sz w:val="24"/>
          <w:szCs w:val="24"/>
          <w:lang w:eastAsia="ru-RU"/>
        </w:rPr>
        <w:lastRenderedPageBreak/>
        <w:drawing>
          <wp:inline distT="0" distB="0" distL="0" distR="0" wp14:anchorId="4B25A948" wp14:editId="7EDBF9DB">
            <wp:extent cx="5659120" cy="1598295"/>
            <wp:effectExtent l="0" t="0" r="0" b="190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20F1" w:rsidRPr="00141BED" w:rsidRDefault="00A820F1" w:rsidP="00141BED">
      <w:pPr>
        <w:spacing w:after="0" w:line="360" w:lineRule="auto"/>
        <w:ind w:firstLine="567"/>
        <w:jc w:val="center"/>
        <w:rPr>
          <w:rFonts w:ascii="Times New Roman" w:hAnsi="Times New Roman"/>
          <w:bCs/>
          <w:sz w:val="24"/>
          <w:szCs w:val="24"/>
          <w:lang w:val="en-US"/>
        </w:rPr>
      </w:pPr>
    </w:p>
    <w:p w:rsidR="00180DB7" w:rsidRPr="00141BED" w:rsidRDefault="00180DB7" w:rsidP="00141BED">
      <w:pPr>
        <w:spacing w:after="0" w:line="360" w:lineRule="auto"/>
        <w:ind w:firstLine="567"/>
        <w:jc w:val="center"/>
        <w:rPr>
          <w:rFonts w:ascii="Times New Roman" w:hAnsi="Times New Roman"/>
          <w:bCs/>
          <w:sz w:val="24"/>
          <w:szCs w:val="24"/>
          <w:lang w:val="en-US"/>
        </w:rPr>
      </w:pPr>
      <w:r w:rsidRPr="00141BED">
        <w:rPr>
          <w:rFonts w:ascii="Times New Roman" w:hAnsi="Times New Roman"/>
          <w:bCs/>
          <w:sz w:val="24"/>
          <w:szCs w:val="24"/>
          <w:lang w:val="en-US"/>
        </w:rPr>
        <w:t xml:space="preserve">Figure </w:t>
      </w:r>
      <w:r w:rsidR="00976E86" w:rsidRPr="00976E86">
        <w:rPr>
          <w:rFonts w:ascii="Times New Roman" w:hAnsi="Times New Roman"/>
          <w:bCs/>
          <w:sz w:val="24"/>
          <w:szCs w:val="24"/>
          <w:lang w:val="en-US"/>
        </w:rPr>
        <w:t>14</w:t>
      </w:r>
      <w:r w:rsidRPr="00141BED">
        <w:rPr>
          <w:rFonts w:ascii="Times New Roman" w:hAnsi="Times New Roman"/>
          <w:bCs/>
          <w:sz w:val="24"/>
          <w:szCs w:val="24"/>
          <w:lang w:val="en-US"/>
        </w:rPr>
        <w:t xml:space="preserve"> – </w:t>
      </w:r>
      <w:r w:rsidR="001C4554" w:rsidRPr="00141BED">
        <w:rPr>
          <w:rFonts w:ascii="Times New Roman" w:hAnsi="Times New Roman"/>
          <w:bCs/>
          <w:sz w:val="24"/>
          <w:szCs w:val="24"/>
          <w:lang w:val="en-US"/>
        </w:rPr>
        <w:t>The</w:t>
      </w:r>
      <w:r w:rsidRPr="00141BED">
        <w:rPr>
          <w:rFonts w:ascii="Times New Roman" w:hAnsi="Times New Roman"/>
          <w:bCs/>
          <w:sz w:val="24"/>
          <w:szCs w:val="24"/>
          <w:lang w:val="en-US"/>
        </w:rPr>
        <w:t xml:space="preserve"> value of radial growth of Scots pine by year in natural pine forests "Burabay" SNNP</w:t>
      </w:r>
    </w:p>
    <w:p w:rsidR="00180DB7" w:rsidRPr="00141BED" w:rsidRDefault="00180DB7" w:rsidP="00141BED">
      <w:pPr>
        <w:spacing w:after="0" w:line="360" w:lineRule="auto"/>
        <w:ind w:firstLine="567"/>
        <w:jc w:val="center"/>
        <w:rPr>
          <w:rFonts w:ascii="Times New Roman" w:hAnsi="Times New Roman"/>
          <w:bCs/>
          <w:sz w:val="24"/>
          <w:szCs w:val="24"/>
          <w:lang w:val="en-US"/>
        </w:rPr>
      </w:pPr>
    </w:p>
    <w:p w:rsidR="00A820F1" w:rsidRPr="00AB5692" w:rsidRDefault="00180DB7"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According to figure </w:t>
      </w:r>
      <w:r w:rsidR="00976E86" w:rsidRPr="00976E86">
        <w:rPr>
          <w:rFonts w:ascii="Times New Roman" w:hAnsi="Times New Roman"/>
          <w:sz w:val="24"/>
          <w:szCs w:val="24"/>
          <w:lang w:val="en-US"/>
        </w:rPr>
        <w:t>15</w:t>
      </w:r>
      <w:r w:rsidRPr="00141BED">
        <w:rPr>
          <w:rFonts w:ascii="Times New Roman" w:hAnsi="Times New Roman"/>
          <w:sz w:val="24"/>
          <w:szCs w:val="24"/>
          <w:lang w:val="en-US"/>
        </w:rPr>
        <w:t xml:space="preserve">, there is no clear distinction between increasing or decreasing </w:t>
      </w:r>
      <w:r w:rsidR="009D238E" w:rsidRPr="00141BED">
        <w:rPr>
          <w:rFonts w:ascii="Times New Roman" w:hAnsi="Times New Roman"/>
          <w:sz w:val="24"/>
          <w:szCs w:val="24"/>
          <w:lang w:val="en-US"/>
        </w:rPr>
        <w:t xml:space="preserve">increment </w:t>
      </w:r>
      <w:r w:rsidRPr="00141BED">
        <w:rPr>
          <w:rFonts w:ascii="Times New Roman" w:hAnsi="Times New Roman"/>
          <w:sz w:val="24"/>
          <w:szCs w:val="24"/>
          <w:lang w:val="en-US"/>
        </w:rPr>
        <w:t>on the branches of decline or growth. On the trial plot in the 1st age class, there is an acceleration of growth on the branch of the decline in solar activity, reaching the highest values in the epoch of the minimum. In other age classes, there is both a decrease and an increase in growth in some periods. For example, in the second age class, during the period from 1949 (the epoch of the maximum solar activity), the growth rate on the decline branch decreases until the epoch of the minimum, and during the period of the decline branch since 1959, the growth rate increases. In the 3rd grade of age, the greatest increase was at the time of maximum solar activity (1979-1981). At present, in the 24th cycle of solar activity, increases are characterized by small values, and there is no obvious influence on this feature. In 2013, during the peak period, pine growth was higher than on the decline branch.</w:t>
      </w:r>
    </w:p>
    <w:p w:rsidR="00976E86" w:rsidRPr="00AB5692" w:rsidRDefault="00976E86" w:rsidP="00141BED">
      <w:pPr>
        <w:spacing w:after="0" w:line="360" w:lineRule="auto"/>
        <w:ind w:firstLine="567"/>
        <w:jc w:val="both"/>
        <w:rPr>
          <w:rFonts w:ascii="Times New Roman" w:hAnsi="Times New Roman"/>
          <w:sz w:val="24"/>
          <w:szCs w:val="24"/>
          <w:lang w:val="en-US"/>
        </w:rPr>
      </w:pPr>
    </w:p>
    <w:p w:rsidR="00F86993" w:rsidRPr="00141BED" w:rsidRDefault="00F86993" w:rsidP="00141BED">
      <w:pPr>
        <w:spacing w:after="0" w:line="360" w:lineRule="auto"/>
        <w:jc w:val="center"/>
        <w:rPr>
          <w:rFonts w:ascii="Times New Roman" w:hAnsi="Times New Roman"/>
          <w:sz w:val="24"/>
          <w:szCs w:val="24"/>
        </w:rPr>
      </w:pPr>
      <w:r w:rsidRPr="00141BED">
        <w:rPr>
          <w:rFonts w:ascii="Times New Roman" w:hAnsi="Times New Roman"/>
          <w:noProof/>
          <w:sz w:val="24"/>
          <w:szCs w:val="24"/>
          <w:lang w:eastAsia="ru-RU"/>
        </w:rPr>
        <w:drawing>
          <wp:inline distT="0" distB="0" distL="0" distR="0" wp14:anchorId="580D4A6E" wp14:editId="10ED522E">
            <wp:extent cx="5082540" cy="1892935"/>
            <wp:effectExtent l="0" t="0" r="22860" b="1206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20F1" w:rsidRPr="00141BED" w:rsidRDefault="00A820F1" w:rsidP="00141BED">
      <w:pPr>
        <w:spacing w:after="0" w:line="360" w:lineRule="auto"/>
        <w:jc w:val="both"/>
        <w:rPr>
          <w:rFonts w:ascii="Times New Roman" w:hAnsi="Times New Roman"/>
          <w:sz w:val="24"/>
          <w:szCs w:val="24"/>
          <w:lang w:val="en-US"/>
        </w:rPr>
      </w:pPr>
    </w:p>
    <w:p w:rsidR="00A820F1" w:rsidRPr="00141BED" w:rsidRDefault="00F40360" w:rsidP="00141BED">
      <w:pPr>
        <w:spacing w:after="0" w:line="360" w:lineRule="auto"/>
        <w:ind w:firstLine="567"/>
        <w:jc w:val="center"/>
        <w:rPr>
          <w:rFonts w:ascii="Times New Roman" w:hAnsi="Times New Roman"/>
          <w:bCs/>
          <w:sz w:val="24"/>
          <w:szCs w:val="24"/>
          <w:lang w:val="en-US"/>
        </w:rPr>
      </w:pPr>
      <w:r w:rsidRPr="00141BED">
        <w:rPr>
          <w:rFonts w:ascii="Times New Roman" w:hAnsi="Times New Roman"/>
          <w:bCs/>
          <w:sz w:val="24"/>
          <w:szCs w:val="24"/>
          <w:lang w:val="en-US"/>
        </w:rPr>
        <w:t xml:space="preserve">Figure </w:t>
      </w:r>
      <w:r w:rsidR="00976E86" w:rsidRPr="00976E86">
        <w:rPr>
          <w:rFonts w:ascii="Times New Roman" w:hAnsi="Times New Roman"/>
          <w:bCs/>
          <w:sz w:val="24"/>
          <w:szCs w:val="24"/>
          <w:lang w:val="en-US"/>
        </w:rPr>
        <w:t>15</w:t>
      </w:r>
      <w:r w:rsidRPr="00141BED">
        <w:rPr>
          <w:rFonts w:ascii="Times New Roman" w:hAnsi="Times New Roman"/>
          <w:bCs/>
          <w:sz w:val="24"/>
          <w:szCs w:val="24"/>
          <w:lang w:val="en-US"/>
        </w:rPr>
        <w:t xml:space="preserve"> - </w:t>
      </w:r>
      <w:r w:rsidR="001C4554" w:rsidRPr="00141BED">
        <w:rPr>
          <w:rFonts w:ascii="Times New Roman" w:hAnsi="Times New Roman"/>
          <w:bCs/>
          <w:sz w:val="24"/>
          <w:szCs w:val="24"/>
          <w:lang w:val="en-US"/>
        </w:rPr>
        <w:t xml:space="preserve">Relationship </w:t>
      </w:r>
      <w:r w:rsidRPr="00141BED">
        <w:rPr>
          <w:rFonts w:ascii="Times New Roman" w:hAnsi="Times New Roman"/>
          <w:bCs/>
          <w:sz w:val="24"/>
          <w:szCs w:val="24"/>
          <w:lang w:val="en-US"/>
        </w:rPr>
        <w:t>between solar activity and growth of Scots pine in "Burabay" SNNP</w:t>
      </w:r>
    </w:p>
    <w:p w:rsidR="00F40360" w:rsidRPr="00141BED" w:rsidRDefault="00F40360" w:rsidP="00141BED">
      <w:pPr>
        <w:spacing w:after="0" w:line="360" w:lineRule="auto"/>
        <w:ind w:firstLine="567"/>
        <w:jc w:val="both"/>
        <w:rPr>
          <w:rFonts w:ascii="Times New Roman" w:hAnsi="Times New Roman"/>
          <w:sz w:val="24"/>
          <w:szCs w:val="24"/>
          <w:lang w:val="en-US"/>
        </w:rPr>
      </w:pPr>
    </w:p>
    <w:p w:rsidR="00F40360" w:rsidRPr="00141BED" w:rsidRDefault="00F4036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lastRenderedPageBreak/>
        <w:t>A correlation analysis was performed between pine growth indicators and environmental factors (average temperatures of the growing season and annual), as well as between Wolf numbers (solar activity) (table 5).</w:t>
      </w:r>
    </w:p>
    <w:p w:rsidR="00A820F1" w:rsidRPr="00141BED" w:rsidRDefault="00F4036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It was found that there is a close negative correlation, significant at the level of </w:t>
      </w:r>
      <w:r w:rsidRPr="00141BED">
        <w:rPr>
          <w:rFonts w:ascii="Times New Roman" w:hAnsi="Times New Roman"/>
          <w:i/>
          <w:sz w:val="24"/>
          <w:szCs w:val="24"/>
          <w:lang w:val="en-US"/>
        </w:rPr>
        <w:t>p&lt;0.005</w:t>
      </w:r>
      <w:r w:rsidRPr="00141BED">
        <w:rPr>
          <w:rFonts w:ascii="Times New Roman" w:hAnsi="Times New Roman"/>
          <w:sz w:val="24"/>
          <w:szCs w:val="24"/>
          <w:lang w:val="en-US"/>
        </w:rPr>
        <w:t xml:space="preserve">, between the average temperature and the increase (R= - 0.24 and 0.47). The relationship between the intensity of solar exposure and growth is very weak (R=0.06). These conclusions are supported by figures </w:t>
      </w:r>
      <w:r w:rsidR="00B762C7" w:rsidRPr="00AB5692">
        <w:rPr>
          <w:rFonts w:ascii="Times New Roman" w:hAnsi="Times New Roman"/>
          <w:sz w:val="24"/>
          <w:szCs w:val="24"/>
          <w:lang w:val="en-US"/>
        </w:rPr>
        <w:t>16</w:t>
      </w:r>
      <w:r w:rsidRPr="00141BED">
        <w:rPr>
          <w:rFonts w:ascii="Times New Roman" w:hAnsi="Times New Roman"/>
          <w:sz w:val="24"/>
          <w:szCs w:val="24"/>
          <w:lang w:val="en-US"/>
        </w:rPr>
        <w:t xml:space="preserve"> and </w:t>
      </w:r>
      <w:r w:rsidR="00B762C7" w:rsidRPr="00AB5692">
        <w:rPr>
          <w:rFonts w:ascii="Times New Roman" w:hAnsi="Times New Roman"/>
          <w:sz w:val="24"/>
          <w:szCs w:val="24"/>
          <w:lang w:val="en-US"/>
        </w:rPr>
        <w:t>17</w:t>
      </w:r>
      <w:r w:rsidRPr="00141BED">
        <w:rPr>
          <w:rFonts w:ascii="Times New Roman" w:hAnsi="Times New Roman"/>
          <w:sz w:val="24"/>
          <w:szCs w:val="24"/>
          <w:lang w:val="en-US"/>
        </w:rPr>
        <w:t>.</w:t>
      </w:r>
    </w:p>
    <w:p w:rsidR="00F40360" w:rsidRPr="00141BED" w:rsidRDefault="00F40360" w:rsidP="00141BED">
      <w:pPr>
        <w:spacing w:after="0" w:line="360" w:lineRule="auto"/>
        <w:ind w:firstLine="567"/>
        <w:jc w:val="both"/>
        <w:rPr>
          <w:rFonts w:ascii="Times New Roman" w:hAnsi="Times New Roman"/>
          <w:sz w:val="24"/>
          <w:szCs w:val="24"/>
          <w:lang w:val="en-US"/>
        </w:rPr>
      </w:pPr>
    </w:p>
    <w:p w:rsidR="00A820F1" w:rsidRPr="00141BED" w:rsidRDefault="00F40360" w:rsidP="00141BED">
      <w:pPr>
        <w:spacing w:after="0" w:line="360" w:lineRule="auto"/>
        <w:jc w:val="both"/>
        <w:rPr>
          <w:rFonts w:ascii="Times New Roman" w:hAnsi="Times New Roman"/>
          <w:sz w:val="24"/>
          <w:szCs w:val="24"/>
          <w:lang w:val="en-US"/>
        </w:rPr>
      </w:pPr>
      <w:r w:rsidRPr="00141BED">
        <w:rPr>
          <w:rFonts w:ascii="Times New Roman" w:hAnsi="Times New Roman"/>
          <w:bCs/>
          <w:sz w:val="24"/>
          <w:szCs w:val="24"/>
          <w:lang w:val="en-US"/>
        </w:rPr>
        <w:t>Table 5 – correlations between the growth of Scots pine and environmental factors in natural stands "Burabay" SNNP</w:t>
      </w:r>
    </w:p>
    <w:tbl>
      <w:tblPr>
        <w:tblW w:w="9358"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1572"/>
        <w:gridCol w:w="1812"/>
        <w:gridCol w:w="1787"/>
        <w:gridCol w:w="1858"/>
      </w:tblGrid>
      <w:tr w:rsidR="00141BED" w:rsidRPr="00141BED" w:rsidTr="00B762C7">
        <w:trPr>
          <w:trHeight w:val="116"/>
        </w:trPr>
        <w:tc>
          <w:tcPr>
            <w:tcW w:w="2329" w:type="dxa"/>
            <w:vMerge w:val="restart"/>
          </w:tcPr>
          <w:p w:rsidR="00A820F1" w:rsidRPr="00141BED" w:rsidRDefault="00F40360" w:rsidP="00B762C7">
            <w:pPr>
              <w:spacing w:after="0" w:line="240" w:lineRule="auto"/>
              <w:ind w:firstLine="34"/>
              <w:jc w:val="both"/>
              <w:rPr>
                <w:rFonts w:ascii="Times New Roman" w:hAnsi="Times New Roman"/>
                <w:sz w:val="24"/>
                <w:szCs w:val="24"/>
              </w:rPr>
            </w:pPr>
            <w:r w:rsidRPr="00141BED">
              <w:rPr>
                <w:rFonts w:ascii="Times New Roman" w:hAnsi="Times New Roman"/>
                <w:sz w:val="24"/>
                <w:szCs w:val="24"/>
              </w:rPr>
              <w:t>Indicators</w:t>
            </w:r>
          </w:p>
        </w:tc>
        <w:tc>
          <w:tcPr>
            <w:tcW w:w="7029" w:type="dxa"/>
            <w:gridSpan w:val="4"/>
          </w:tcPr>
          <w:p w:rsidR="00A820F1" w:rsidRPr="00141BED" w:rsidRDefault="00F40360" w:rsidP="00B762C7">
            <w:pPr>
              <w:spacing w:after="0" w:line="240" w:lineRule="auto"/>
              <w:ind w:firstLine="34"/>
              <w:rPr>
                <w:rFonts w:ascii="Times New Roman" w:hAnsi="Times New Roman"/>
                <w:sz w:val="24"/>
                <w:szCs w:val="24"/>
              </w:rPr>
            </w:pPr>
            <w:r w:rsidRPr="00141BED">
              <w:rPr>
                <w:rFonts w:ascii="Times New Roman" w:hAnsi="Times New Roman"/>
                <w:sz w:val="24"/>
                <w:szCs w:val="24"/>
              </w:rPr>
              <w:t>Indicators</w:t>
            </w:r>
          </w:p>
        </w:tc>
      </w:tr>
      <w:tr w:rsidR="00141BED" w:rsidRPr="00141BED" w:rsidTr="00B762C7">
        <w:trPr>
          <w:trHeight w:val="150"/>
        </w:trPr>
        <w:tc>
          <w:tcPr>
            <w:tcW w:w="2329" w:type="dxa"/>
            <w:vMerge/>
          </w:tcPr>
          <w:p w:rsidR="00A820F1" w:rsidRPr="00141BED" w:rsidRDefault="00A820F1" w:rsidP="00B762C7">
            <w:pPr>
              <w:spacing w:after="0" w:line="240" w:lineRule="auto"/>
              <w:ind w:firstLine="34"/>
              <w:jc w:val="both"/>
              <w:rPr>
                <w:rFonts w:ascii="Times New Roman" w:hAnsi="Times New Roman"/>
                <w:sz w:val="24"/>
                <w:szCs w:val="24"/>
              </w:rPr>
            </w:pPr>
          </w:p>
        </w:tc>
        <w:tc>
          <w:tcPr>
            <w:tcW w:w="1572" w:type="dxa"/>
          </w:tcPr>
          <w:p w:rsidR="00A820F1" w:rsidRPr="00141BED" w:rsidRDefault="009D238E" w:rsidP="00B762C7">
            <w:pPr>
              <w:spacing w:after="0" w:line="240" w:lineRule="auto"/>
              <w:ind w:firstLine="34"/>
              <w:rPr>
                <w:rFonts w:ascii="Times New Roman" w:hAnsi="Times New Roman"/>
                <w:sz w:val="24"/>
                <w:szCs w:val="24"/>
              </w:rPr>
            </w:pPr>
            <w:r w:rsidRPr="00141BED">
              <w:rPr>
                <w:rFonts w:ascii="Times New Roman" w:hAnsi="Times New Roman"/>
                <w:sz w:val="24"/>
                <w:szCs w:val="24"/>
                <w:lang w:val="en-US"/>
              </w:rPr>
              <w:t>increment</w:t>
            </w:r>
            <w:r w:rsidR="00F40360" w:rsidRPr="00141BED">
              <w:rPr>
                <w:rFonts w:ascii="Times New Roman" w:hAnsi="Times New Roman"/>
                <w:sz w:val="24"/>
                <w:szCs w:val="24"/>
              </w:rPr>
              <w:t>, mm</w:t>
            </w:r>
          </w:p>
        </w:tc>
        <w:tc>
          <w:tcPr>
            <w:tcW w:w="1812" w:type="dxa"/>
          </w:tcPr>
          <w:p w:rsidR="00A820F1" w:rsidRPr="00141BED" w:rsidRDefault="00F40360" w:rsidP="00B762C7">
            <w:pPr>
              <w:spacing w:after="0" w:line="240" w:lineRule="auto"/>
              <w:ind w:firstLine="34"/>
              <w:rPr>
                <w:rFonts w:ascii="Times New Roman" w:hAnsi="Times New Roman"/>
                <w:sz w:val="24"/>
                <w:szCs w:val="24"/>
                <w:lang w:val="en-US"/>
              </w:rPr>
            </w:pPr>
            <w:r w:rsidRPr="00141BED">
              <w:rPr>
                <w:rFonts w:ascii="Times New Roman" w:eastAsia="Times New Roman" w:hAnsi="Times New Roman"/>
                <w:bCs/>
                <w:sz w:val="24"/>
                <w:szCs w:val="24"/>
                <w:lang w:val="en-US" w:eastAsia="ru-RU"/>
              </w:rPr>
              <w:t>average temperature of the growing season,</w:t>
            </w:r>
            <w:r w:rsidR="00A820F1" w:rsidRPr="00141BED">
              <w:rPr>
                <w:rFonts w:ascii="Times New Roman" w:eastAsia="Times New Roman" w:hAnsi="Times New Roman"/>
                <w:bCs/>
                <w:sz w:val="24"/>
                <w:szCs w:val="24"/>
                <w:vertAlign w:val="superscript"/>
                <w:lang w:val="en-US" w:eastAsia="ru-RU"/>
              </w:rPr>
              <w:t>0</w:t>
            </w:r>
            <w:r w:rsidR="00A820F1" w:rsidRPr="00141BED">
              <w:rPr>
                <w:rFonts w:ascii="Times New Roman" w:eastAsia="Times New Roman" w:hAnsi="Times New Roman"/>
                <w:bCs/>
                <w:sz w:val="24"/>
                <w:szCs w:val="24"/>
                <w:lang w:eastAsia="ru-RU"/>
              </w:rPr>
              <w:t>С</w:t>
            </w:r>
          </w:p>
        </w:tc>
        <w:tc>
          <w:tcPr>
            <w:tcW w:w="1787" w:type="dxa"/>
          </w:tcPr>
          <w:p w:rsidR="00A820F1" w:rsidRPr="00141BED" w:rsidRDefault="00F40360" w:rsidP="00B762C7">
            <w:pPr>
              <w:spacing w:after="0" w:line="240" w:lineRule="auto"/>
              <w:ind w:firstLine="34"/>
              <w:rPr>
                <w:rFonts w:ascii="Times New Roman" w:hAnsi="Times New Roman"/>
                <w:sz w:val="24"/>
                <w:szCs w:val="24"/>
              </w:rPr>
            </w:pPr>
            <w:r w:rsidRPr="00141BED">
              <w:rPr>
                <w:rFonts w:ascii="Times New Roman" w:eastAsia="Times New Roman" w:hAnsi="Times New Roman"/>
                <w:bCs/>
                <w:sz w:val="24"/>
                <w:szCs w:val="24"/>
                <w:lang w:eastAsia="ru-RU"/>
              </w:rPr>
              <w:t>average annual temperature</w:t>
            </w:r>
            <w:r w:rsidR="00A820F1" w:rsidRPr="00141BED">
              <w:rPr>
                <w:rFonts w:ascii="Times New Roman" w:eastAsia="Times New Roman" w:hAnsi="Times New Roman"/>
                <w:bCs/>
                <w:sz w:val="24"/>
                <w:szCs w:val="24"/>
                <w:lang w:eastAsia="ru-RU"/>
              </w:rPr>
              <w:t xml:space="preserve">, </w:t>
            </w:r>
            <w:r w:rsidR="00A820F1" w:rsidRPr="00141BED">
              <w:rPr>
                <w:rFonts w:ascii="Times New Roman" w:eastAsia="Times New Roman" w:hAnsi="Times New Roman"/>
                <w:bCs/>
                <w:sz w:val="24"/>
                <w:szCs w:val="24"/>
                <w:vertAlign w:val="superscript"/>
                <w:lang w:eastAsia="ru-RU"/>
              </w:rPr>
              <w:t>0</w:t>
            </w:r>
            <w:r w:rsidR="00A820F1" w:rsidRPr="00141BED">
              <w:rPr>
                <w:rFonts w:ascii="Times New Roman" w:eastAsia="Times New Roman" w:hAnsi="Times New Roman"/>
                <w:bCs/>
                <w:sz w:val="24"/>
                <w:szCs w:val="24"/>
                <w:lang w:eastAsia="ru-RU"/>
              </w:rPr>
              <w:t>С</w:t>
            </w:r>
          </w:p>
        </w:tc>
        <w:tc>
          <w:tcPr>
            <w:tcW w:w="1858" w:type="dxa"/>
          </w:tcPr>
          <w:p w:rsidR="00A820F1" w:rsidRPr="00141BED" w:rsidRDefault="00F40360" w:rsidP="00B762C7">
            <w:pPr>
              <w:spacing w:after="0" w:line="240" w:lineRule="auto"/>
              <w:ind w:firstLine="34"/>
              <w:rPr>
                <w:rFonts w:ascii="Times New Roman" w:hAnsi="Times New Roman"/>
                <w:sz w:val="24"/>
                <w:szCs w:val="24"/>
              </w:rPr>
            </w:pPr>
            <w:r w:rsidRPr="00141BED">
              <w:rPr>
                <w:rFonts w:ascii="Times New Roman" w:eastAsia="Times New Roman" w:hAnsi="Times New Roman"/>
                <w:bCs/>
                <w:sz w:val="24"/>
                <w:szCs w:val="24"/>
                <w:lang w:eastAsia="ru-RU"/>
              </w:rPr>
              <w:t>solar activity (</w:t>
            </w:r>
            <w:r w:rsidRPr="00141BED">
              <w:rPr>
                <w:rFonts w:ascii="Times New Roman" w:eastAsia="Times New Roman" w:hAnsi="Times New Roman"/>
                <w:bCs/>
                <w:sz w:val="24"/>
                <w:szCs w:val="24"/>
                <w:lang w:val="en-US" w:eastAsia="ru-RU"/>
              </w:rPr>
              <w:t>W</w:t>
            </w:r>
            <w:r w:rsidRPr="00141BED">
              <w:rPr>
                <w:rFonts w:ascii="Times New Roman" w:eastAsia="Times New Roman" w:hAnsi="Times New Roman"/>
                <w:bCs/>
                <w:sz w:val="24"/>
                <w:szCs w:val="24"/>
                <w:lang w:eastAsia="ru-RU"/>
              </w:rPr>
              <w:t>olf number)</w:t>
            </w:r>
          </w:p>
        </w:tc>
      </w:tr>
      <w:tr w:rsidR="00141BED" w:rsidRPr="00141BED" w:rsidTr="00B762C7">
        <w:trPr>
          <w:trHeight w:val="150"/>
        </w:trPr>
        <w:tc>
          <w:tcPr>
            <w:tcW w:w="2329" w:type="dxa"/>
          </w:tcPr>
          <w:p w:rsidR="00F86993" w:rsidRPr="00141BED" w:rsidRDefault="003E0EB8" w:rsidP="00B762C7">
            <w:pPr>
              <w:spacing w:after="0" w:line="240" w:lineRule="auto"/>
              <w:ind w:firstLine="34"/>
              <w:jc w:val="both"/>
              <w:rPr>
                <w:rFonts w:ascii="Times New Roman" w:hAnsi="Times New Roman"/>
                <w:sz w:val="24"/>
                <w:szCs w:val="24"/>
              </w:rPr>
            </w:pPr>
            <w:r w:rsidRPr="00141BED">
              <w:rPr>
                <w:rFonts w:ascii="Times New Roman" w:hAnsi="Times New Roman"/>
                <w:sz w:val="24"/>
                <w:szCs w:val="24"/>
                <w:lang w:val="en-US"/>
              </w:rPr>
              <w:t>increment</w:t>
            </w:r>
            <w:r w:rsidRPr="00141BED">
              <w:rPr>
                <w:rFonts w:ascii="Times New Roman" w:hAnsi="Times New Roman"/>
                <w:sz w:val="24"/>
                <w:szCs w:val="24"/>
              </w:rPr>
              <w:t>, mm</w:t>
            </w:r>
          </w:p>
        </w:tc>
        <w:tc>
          <w:tcPr>
            <w:tcW w:w="1572" w:type="dxa"/>
            <w:vAlign w:val="center"/>
          </w:tcPr>
          <w:p w:rsidR="00F86993" w:rsidRPr="00141BED" w:rsidRDefault="00F86993"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1,000000</w:t>
            </w:r>
          </w:p>
        </w:tc>
        <w:tc>
          <w:tcPr>
            <w:tcW w:w="1812" w:type="dxa"/>
            <w:vAlign w:val="center"/>
          </w:tcPr>
          <w:p w:rsidR="00F86993" w:rsidRPr="00141BED" w:rsidRDefault="00F86993"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-0,240005</w:t>
            </w:r>
          </w:p>
        </w:tc>
        <w:tc>
          <w:tcPr>
            <w:tcW w:w="1787" w:type="dxa"/>
            <w:vAlign w:val="center"/>
          </w:tcPr>
          <w:p w:rsidR="00F86993" w:rsidRPr="00141BED" w:rsidRDefault="00F86993"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-0,475629</w:t>
            </w:r>
          </w:p>
        </w:tc>
        <w:tc>
          <w:tcPr>
            <w:tcW w:w="1858" w:type="dxa"/>
            <w:vAlign w:val="center"/>
          </w:tcPr>
          <w:p w:rsidR="00F86993" w:rsidRPr="00141BED" w:rsidRDefault="00F86993"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-0,066171</w:t>
            </w:r>
          </w:p>
        </w:tc>
      </w:tr>
      <w:tr w:rsidR="00141BED" w:rsidRPr="00141BED" w:rsidTr="00B762C7">
        <w:trPr>
          <w:trHeight w:val="150"/>
        </w:trPr>
        <w:tc>
          <w:tcPr>
            <w:tcW w:w="2329" w:type="dxa"/>
            <w:vAlign w:val="center"/>
          </w:tcPr>
          <w:p w:rsidR="00F86993" w:rsidRPr="00141BED" w:rsidRDefault="003E0EB8" w:rsidP="00B762C7">
            <w:pPr>
              <w:spacing w:after="0" w:line="240" w:lineRule="auto"/>
              <w:ind w:firstLine="34"/>
              <w:jc w:val="both"/>
              <w:rPr>
                <w:rFonts w:ascii="Times New Roman" w:eastAsia="Times New Roman" w:hAnsi="Times New Roman"/>
                <w:bCs/>
                <w:sz w:val="24"/>
                <w:szCs w:val="24"/>
                <w:lang w:val="en-US" w:eastAsia="ru-RU"/>
              </w:rPr>
            </w:pPr>
            <w:r w:rsidRPr="00141BED">
              <w:rPr>
                <w:rFonts w:ascii="Times New Roman" w:eastAsia="Times New Roman" w:hAnsi="Times New Roman"/>
                <w:bCs/>
                <w:sz w:val="24"/>
                <w:szCs w:val="24"/>
                <w:lang w:val="en-US" w:eastAsia="ru-RU"/>
              </w:rPr>
              <w:t>average temperature of the growing season,</w:t>
            </w:r>
            <w:r w:rsidRPr="00141BED">
              <w:rPr>
                <w:rFonts w:ascii="Times New Roman" w:eastAsia="Times New Roman" w:hAnsi="Times New Roman"/>
                <w:bCs/>
                <w:sz w:val="24"/>
                <w:szCs w:val="24"/>
                <w:vertAlign w:val="superscript"/>
                <w:lang w:val="en-US" w:eastAsia="ru-RU"/>
              </w:rPr>
              <w:t>0</w:t>
            </w:r>
            <w:r w:rsidRPr="00141BED">
              <w:rPr>
                <w:rFonts w:ascii="Times New Roman" w:eastAsia="Times New Roman" w:hAnsi="Times New Roman"/>
                <w:bCs/>
                <w:sz w:val="24"/>
                <w:szCs w:val="24"/>
                <w:lang w:eastAsia="ru-RU"/>
              </w:rPr>
              <w:t>С</w:t>
            </w:r>
          </w:p>
        </w:tc>
        <w:tc>
          <w:tcPr>
            <w:tcW w:w="1572" w:type="dxa"/>
            <w:vAlign w:val="center"/>
          </w:tcPr>
          <w:p w:rsidR="00F86993" w:rsidRPr="00141BED" w:rsidRDefault="00F86993"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-0,240005</w:t>
            </w:r>
          </w:p>
        </w:tc>
        <w:tc>
          <w:tcPr>
            <w:tcW w:w="1812" w:type="dxa"/>
            <w:vAlign w:val="center"/>
          </w:tcPr>
          <w:p w:rsidR="00F86993" w:rsidRPr="00141BED" w:rsidRDefault="00F86993"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1,000000</w:t>
            </w:r>
          </w:p>
        </w:tc>
        <w:tc>
          <w:tcPr>
            <w:tcW w:w="1787" w:type="dxa"/>
            <w:vAlign w:val="center"/>
          </w:tcPr>
          <w:p w:rsidR="00F86993" w:rsidRPr="00141BED" w:rsidRDefault="00F86993"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0,597900</w:t>
            </w:r>
          </w:p>
        </w:tc>
        <w:tc>
          <w:tcPr>
            <w:tcW w:w="1858" w:type="dxa"/>
            <w:vAlign w:val="center"/>
          </w:tcPr>
          <w:p w:rsidR="00F86993" w:rsidRPr="00141BED" w:rsidRDefault="00F86993"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-0,145019</w:t>
            </w:r>
          </w:p>
        </w:tc>
      </w:tr>
      <w:tr w:rsidR="00141BED" w:rsidRPr="00141BED" w:rsidTr="00B762C7">
        <w:trPr>
          <w:trHeight w:val="150"/>
        </w:trPr>
        <w:tc>
          <w:tcPr>
            <w:tcW w:w="2329" w:type="dxa"/>
          </w:tcPr>
          <w:p w:rsidR="003E0EB8" w:rsidRPr="00141BED" w:rsidRDefault="003E0EB8" w:rsidP="00B762C7">
            <w:pPr>
              <w:spacing w:after="0" w:line="240" w:lineRule="auto"/>
              <w:ind w:firstLine="34"/>
              <w:rPr>
                <w:rFonts w:ascii="Times New Roman" w:hAnsi="Times New Roman"/>
                <w:sz w:val="24"/>
                <w:szCs w:val="24"/>
              </w:rPr>
            </w:pPr>
            <w:r w:rsidRPr="00141BED">
              <w:rPr>
                <w:rFonts w:ascii="Times New Roman" w:eastAsia="Times New Roman" w:hAnsi="Times New Roman"/>
                <w:bCs/>
                <w:sz w:val="24"/>
                <w:szCs w:val="24"/>
                <w:lang w:eastAsia="ru-RU"/>
              </w:rPr>
              <w:t xml:space="preserve">average annual temperature, </w:t>
            </w:r>
            <w:r w:rsidRPr="00141BED">
              <w:rPr>
                <w:rFonts w:ascii="Times New Roman" w:eastAsia="Times New Roman" w:hAnsi="Times New Roman"/>
                <w:bCs/>
                <w:sz w:val="24"/>
                <w:szCs w:val="24"/>
                <w:vertAlign w:val="superscript"/>
                <w:lang w:eastAsia="ru-RU"/>
              </w:rPr>
              <w:t>0</w:t>
            </w:r>
            <w:r w:rsidRPr="00141BED">
              <w:rPr>
                <w:rFonts w:ascii="Times New Roman" w:eastAsia="Times New Roman" w:hAnsi="Times New Roman"/>
                <w:bCs/>
                <w:sz w:val="24"/>
                <w:szCs w:val="24"/>
                <w:lang w:eastAsia="ru-RU"/>
              </w:rPr>
              <w:t>С</w:t>
            </w:r>
          </w:p>
        </w:tc>
        <w:tc>
          <w:tcPr>
            <w:tcW w:w="1572" w:type="dxa"/>
            <w:vAlign w:val="center"/>
          </w:tcPr>
          <w:p w:rsidR="003E0EB8" w:rsidRPr="00141BED" w:rsidRDefault="003E0EB8"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-0,475629</w:t>
            </w:r>
          </w:p>
        </w:tc>
        <w:tc>
          <w:tcPr>
            <w:tcW w:w="1812" w:type="dxa"/>
            <w:vAlign w:val="center"/>
          </w:tcPr>
          <w:p w:rsidR="003E0EB8" w:rsidRPr="00141BED" w:rsidRDefault="003E0EB8"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0,597900</w:t>
            </w:r>
          </w:p>
        </w:tc>
        <w:tc>
          <w:tcPr>
            <w:tcW w:w="1787" w:type="dxa"/>
            <w:vAlign w:val="center"/>
          </w:tcPr>
          <w:p w:rsidR="003E0EB8" w:rsidRPr="00141BED" w:rsidRDefault="003E0EB8"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1,000000</w:t>
            </w:r>
          </w:p>
        </w:tc>
        <w:tc>
          <w:tcPr>
            <w:tcW w:w="1858" w:type="dxa"/>
            <w:vAlign w:val="center"/>
          </w:tcPr>
          <w:p w:rsidR="003E0EB8" w:rsidRPr="00141BED" w:rsidRDefault="003E0EB8"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-0,012334</w:t>
            </w:r>
          </w:p>
        </w:tc>
      </w:tr>
      <w:tr w:rsidR="00141BED" w:rsidRPr="00141BED" w:rsidTr="00B762C7">
        <w:trPr>
          <w:trHeight w:val="150"/>
        </w:trPr>
        <w:tc>
          <w:tcPr>
            <w:tcW w:w="2329" w:type="dxa"/>
          </w:tcPr>
          <w:p w:rsidR="003E0EB8" w:rsidRPr="00141BED" w:rsidRDefault="003E0EB8" w:rsidP="00B762C7">
            <w:pPr>
              <w:spacing w:after="0" w:line="240" w:lineRule="auto"/>
              <w:ind w:firstLine="34"/>
              <w:rPr>
                <w:rFonts w:ascii="Times New Roman" w:hAnsi="Times New Roman"/>
                <w:sz w:val="24"/>
                <w:szCs w:val="24"/>
              </w:rPr>
            </w:pPr>
            <w:r w:rsidRPr="00141BED">
              <w:rPr>
                <w:rFonts w:ascii="Times New Roman" w:eastAsia="Times New Roman" w:hAnsi="Times New Roman"/>
                <w:bCs/>
                <w:sz w:val="24"/>
                <w:szCs w:val="24"/>
                <w:lang w:eastAsia="ru-RU"/>
              </w:rPr>
              <w:t>solar activity (</w:t>
            </w:r>
            <w:r w:rsidRPr="00141BED">
              <w:rPr>
                <w:rFonts w:ascii="Times New Roman" w:eastAsia="Times New Roman" w:hAnsi="Times New Roman"/>
                <w:bCs/>
                <w:sz w:val="24"/>
                <w:szCs w:val="24"/>
                <w:lang w:val="en-US" w:eastAsia="ru-RU"/>
              </w:rPr>
              <w:t>W</w:t>
            </w:r>
            <w:r w:rsidRPr="00141BED">
              <w:rPr>
                <w:rFonts w:ascii="Times New Roman" w:eastAsia="Times New Roman" w:hAnsi="Times New Roman"/>
                <w:bCs/>
                <w:sz w:val="24"/>
                <w:szCs w:val="24"/>
                <w:lang w:eastAsia="ru-RU"/>
              </w:rPr>
              <w:t>olf number)</w:t>
            </w:r>
          </w:p>
        </w:tc>
        <w:tc>
          <w:tcPr>
            <w:tcW w:w="1572" w:type="dxa"/>
            <w:vAlign w:val="center"/>
          </w:tcPr>
          <w:p w:rsidR="003E0EB8" w:rsidRPr="00141BED" w:rsidRDefault="003E0EB8"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-0,066171</w:t>
            </w:r>
          </w:p>
        </w:tc>
        <w:tc>
          <w:tcPr>
            <w:tcW w:w="1812" w:type="dxa"/>
            <w:vAlign w:val="center"/>
          </w:tcPr>
          <w:p w:rsidR="003E0EB8" w:rsidRPr="00141BED" w:rsidRDefault="003E0EB8"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-0,145019</w:t>
            </w:r>
          </w:p>
        </w:tc>
        <w:tc>
          <w:tcPr>
            <w:tcW w:w="1787" w:type="dxa"/>
            <w:vAlign w:val="center"/>
          </w:tcPr>
          <w:p w:rsidR="003E0EB8" w:rsidRPr="00141BED" w:rsidRDefault="003E0EB8"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-0,012334</w:t>
            </w:r>
          </w:p>
        </w:tc>
        <w:tc>
          <w:tcPr>
            <w:tcW w:w="1858" w:type="dxa"/>
            <w:vAlign w:val="center"/>
          </w:tcPr>
          <w:p w:rsidR="003E0EB8" w:rsidRPr="00141BED" w:rsidRDefault="003E0EB8" w:rsidP="00B762C7">
            <w:pPr>
              <w:spacing w:after="0" w:line="240" w:lineRule="auto"/>
              <w:ind w:firstLine="34"/>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1,000000</w:t>
            </w:r>
          </w:p>
        </w:tc>
      </w:tr>
    </w:tbl>
    <w:p w:rsidR="00B762C7" w:rsidRDefault="00B762C7" w:rsidP="00141BED">
      <w:pPr>
        <w:spacing w:after="0" w:line="360" w:lineRule="auto"/>
        <w:rPr>
          <w:rFonts w:ascii="Times New Roman" w:hAnsi="Times New Roman"/>
          <w:bCs/>
          <w:noProof/>
          <w:sz w:val="24"/>
          <w:szCs w:val="24"/>
          <w:lang w:eastAsia="ru-RU"/>
        </w:rPr>
      </w:pPr>
    </w:p>
    <w:p w:rsidR="00B762C7" w:rsidRDefault="00B762C7" w:rsidP="00141BED">
      <w:pPr>
        <w:spacing w:after="0" w:line="360" w:lineRule="auto"/>
        <w:rPr>
          <w:rFonts w:ascii="Times New Roman" w:hAnsi="Times New Roman"/>
          <w:bCs/>
          <w:noProof/>
          <w:sz w:val="24"/>
          <w:szCs w:val="24"/>
          <w:lang w:eastAsia="ru-RU"/>
        </w:rPr>
      </w:pPr>
    </w:p>
    <w:tbl>
      <w:tblPr>
        <w:tblW w:w="9600" w:type="dxa"/>
        <w:tblInd w:w="137" w:type="dxa"/>
        <w:tblLook w:val="0000" w:firstRow="0" w:lastRow="0" w:firstColumn="0" w:lastColumn="0" w:noHBand="0" w:noVBand="0"/>
      </w:tblPr>
      <w:tblGrid>
        <w:gridCol w:w="4356"/>
        <w:gridCol w:w="5244"/>
      </w:tblGrid>
      <w:tr w:rsidR="00B762C7" w:rsidRPr="008510F3" w:rsidTr="00165AA4">
        <w:trPr>
          <w:trHeight w:val="3246"/>
        </w:trPr>
        <w:tc>
          <w:tcPr>
            <w:tcW w:w="4356" w:type="dxa"/>
          </w:tcPr>
          <w:p w:rsidR="00B762C7" w:rsidRPr="008510F3" w:rsidRDefault="00B762C7" w:rsidP="00165AA4">
            <w:pPr>
              <w:spacing w:after="0" w:line="360" w:lineRule="auto"/>
              <w:ind w:firstLine="5"/>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059305" cy="18618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r="31090" b="31197"/>
                          <a:stretch>
                            <a:fillRect/>
                          </a:stretch>
                        </pic:blipFill>
                        <pic:spPr bwMode="auto">
                          <a:xfrm>
                            <a:off x="0" y="0"/>
                            <a:ext cx="2059305" cy="1861820"/>
                          </a:xfrm>
                          <a:prstGeom prst="rect">
                            <a:avLst/>
                          </a:prstGeom>
                          <a:noFill/>
                          <a:ln>
                            <a:noFill/>
                          </a:ln>
                        </pic:spPr>
                      </pic:pic>
                    </a:graphicData>
                  </a:graphic>
                </wp:inline>
              </w:drawing>
            </w:r>
          </w:p>
        </w:tc>
        <w:tc>
          <w:tcPr>
            <w:tcW w:w="5244" w:type="dxa"/>
          </w:tcPr>
          <w:p w:rsidR="00B762C7" w:rsidRPr="008510F3" w:rsidRDefault="00B762C7" w:rsidP="00165AA4">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919605" cy="17379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r="30447" b="29913"/>
                          <a:stretch>
                            <a:fillRect/>
                          </a:stretch>
                        </pic:blipFill>
                        <pic:spPr bwMode="auto">
                          <a:xfrm>
                            <a:off x="0" y="0"/>
                            <a:ext cx="1919605" cy="1737995"/>
                          </a:xfrm>
                          <a:prstGeom prst="rect">
                            <a:avLst/>
                          </a:prstGeom>
                          <a:noFill/>
                          <a:ln>
                            <a:noFill/>
                          </a:ln>
                        </pic:spPr>
                      </pic:pic>
                    </a:graphicData>
                  </a:graphic>
                </wp:inline>
              </w:drawing>
            </w:r>
          </w:p>
        </w:tc>
      </w:tr>
      <w:tr w:rsidR="00B762C7" w:rsidRPr="008510F3" w:rsidTr="00165AA4">
        <w:trPr>
          <w:trHeight w:val="250"/>
        </w:trPr>
        <w:tc>
          <w:tcPr>
            <w:tcW w:w="4356" w:type="dxa"/>
          </w:tcPr>
          <w:p w:rsidR="00B762C7" w:rsidRPr="008510F3" w:rsidRDefault="00B762C7" w:rsidP="00165AA4">
            <w:pPr>
              <w:spacing w:after="0" w:line="360" w:lineRule="auto"/>
              <w:ind w:firstLine="567"/>
              <w:jc w:val="center"/>
              <w:rPr>
                <w:rFonts w:ascii="Times New Roman" w:hAnsi="Times New Roman"/>
                <w:sz w:val="24"/>
                <w:szCs w:val="24"/>
              </w:rPr>
            </w:pPr>
            <w:r w:rsidRPr="008510F3">
              <w:rPr>
                <w:rFonts w:ascii="Times New Roman" w:hAnsi="Times New Roman"/>
                <w:sz w:val="24"/>
                <w:szCs w:val="24"/>
              </w:rPr>
              <w:t>а</w:t>
            </w:r>
          </w:p>
        </w:tc>
        <w:tc>
          <w:tcPr>
            <w:tcW w:w="5244" w:type="dxa"/>
          </w:tcPr>
          <w:p w:rsidR="00B762C7" w:rsidRPr="008510F3" w:rsidRDefault="00B762C7" w:rsidP="00165AA4">
            <w:pPr>
              <w:spacing w:after="0" w:line="360" w:lineRule="auto"/>
              <w:ind w:firstLine="567"/>
              <w:jc w:val="center"/>
              <w:rPr>
                <w:rFonts w:ascii="Times New Roman" w:hAnsi="Times New Roman"/>
                <w:sz w:val="24"/>
                <w:szCs w:val="24"/>
              </w:rPr>
            </w:pPr>
            <w:r w:rsidRPr="008510F3">
              <w:rPr>
                <w:rFonts w:ascii="Times New Roman" w:hAnsi="Times New Roman"/>
                <w:sz w:val="24"/>
                <w:szCs w:val="24"/>
              </w:rPr>
              <w:t>б</w:t>
            </w:r>
          </w:p>
        </w:tc>
      </w:tr>
    </w:tbl>
    <w:p w:rsidR="00B762C7" w:rsidRDefault="00B762C7" w:rsidP="00141BED">
      <w:pPr>
        <w:spacing w:after="0" w:line="360" w:lineRule="auto"/>
        <w:rPr>
          <w:rFonts w:ascii="Times New Roman" w:hAnsi="Times New Roman"/>
          <w:bCs/>
          <w:noProof/>
          <w:sz w:val="24"/>
          <w:szCs w:val="24"/>
          <w:lang w:eastAsia="ru-RU"/>
        </w:rPr>
      </w:pPr>
    </w:p>
    <w:p w:rsidR="00A820F1" w:rsidRPr="00141BED" w:rsidRDefault="005D41EF" w:rsidP="00B762C7">
      <w:pPr>
        <w:spacing w:after="0" w:line="360" w:lineRule="auto"/>
        <w:jc w:val="center"/>
        <w:rPr>
          <w:rFonts w:ascii="Times New Roman" w:hAnsi="Times New Roman"/>
          <w:bCs/>
          <w:noProof/>
          <w:sz w:val="24"/>
          <w:szCs w:val="24"/>
          <w:lang w:val="en-US" w:eastAsia="ru-RU"/>
        </w:rPr>
      </w:pPr>
      <w:r w:rsidRPr="00141BED">
        <w:rPr>
          <w:rFonts w:ascii="Times New Roman" w:hAnsi="Times New Roman"/>
          <w:bCs/>
          <w:noProof/>
          <w:sz w:val="24"/>
          <w:szCs w:val="24"/>
          <w:lang w:val="en-US" w:eastAsia="ru-RU"/>
        </w:rPr>
        <w:t xml:space="preserve">Figure </w:t>
      </w:r>
      <w:r w:rsidR="00B762C7" w:rsidRPr="00B762C7">
        <w:rPr>
          <w:rFonts w:ascii="Times New Roman" w:hAnsi="Times New Roman"/>
          <w:bCs/>
          <w:noProof/>
          <w:sz w:val="24"/>
          <w:szCs w:val="24"/>
          <w:lang w:val="en-US" w:eastAsia="ru-RU"/>
        </w:rPr>
        <w:t>16</w:t>
      </w:r>
      <w:r w:rsidRPr="00141BED">
        <w:rPr>
          <w:rFonts w:ascii="Times New Roman" w:hAnsi="Times New Roman"/>
          <w:bCs/>
          <w:noProof/>
          <w:sz w:val="24"/>
          <w:szCs w:val="24"/>
          <w:lang w:val="en-US" w:eastAsia="ru-RU"/>
        </w:rPr>
        <w:t xml:space="preserve"> - Tightness of correlations between radial growth of Scots pine and solar activity (a), average annual temperature (b) in natural stands of "Burabay" SNNP</w:t>
      </w:r>
    </w:p>
    <w:p w:rsidR="005D41EF" w:rsidRPr="00141BED" w:rsidRDefault="00D6009D" w:rsidP="00141BED">
      <w:pPr>
        <w:spacing w:after="0" w:line="360" w:lineRule="auto"/>
        <w:jc w:val="center"/>
        <w:rPr>
          <w:rFonts w:ascii="Times New Roman" w:hAnsi="Times New Roman"/>
          <w:sz w:val="24"/>
          <w:szCs w:val="24"/>
          <w:lang w:val="en-US"/>
        </w:rPr>
      </w:pPr>
      <w:r w:rsidRPr="00141BED">
        <w:rPr>
          <w:rFonts w:ascii="Times New Roman" w:hAnsi="Times New Roman"/>
          <w:noProof/>
          <w:sz w:val="24"/>
          <w:szCs w:val="24"/>
          <w:lang w:eastAsia="ru-RU"/>
        </w:rPr>
        <w:lastRenderedPageBreak/>
        <w:drawing>
          <wp:inline distT="0" distB="0" distL="0" distR="0" wp14:anchorId="332B92C0" wp14:editId="29A991D7">
            <wp:extent cx="3295015" cy="249618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r="33119" b="32620"/>
                    <a:stretch>
                      <a:fillRect/>
                    </a:stretch>
                  </pic:blipFill>
                  <pic:spPr bwMode="auto">
                    <a:xfrm>
                      <a:off x="0" y="0"/>
                      <a:ext cx="3295015" cy="2496185"/>
                    </a:xfrm>
                    <a:prstGeom prst="rect">
                      <a:avLst/>
                    </a:prstGeom>
                    <a:noFill/>
                    <a:ln>
                      <a:noFill/>
                    </a:ln>
                  </pic:spPr>
                </pic:pic>
              </a:graphicData>
            </a:graphic>
          </wp:inline>
        </w:drawing>
      </w:r>
    </w:p>
    <w:p w:rsidR="00A820F1" w:rsidRPr="00141BED" w:rsidRDefault="005D41EF" w:rsidP="00141BED">
      <w:pPr>
        <w:spacing w:after="0" w:line="360" w:lineRule="auto"/>
        <w:ind w:firstLine="567"/>
        <w:jc w:val="both"/>
        <w:rPr>
          <w:rFonts w:ascii="Times New Roman" w:hAnsi="Times New Roman"/>
          <w:bCs/>
          <w:sz w:val="24"/>
          <w:szCs w:val="24"/>
          <w:lang w:val="en-US"/>
        </w:rPr>
      </w:pPr>
      <w:r w:rsidRPr="00141BED">
        <w:rPr>
          <w:rFonts w:ascii="Times New Roman" w:hAnsi="Times New Roman"/>
          <w:bCs/>
          <w:sz w:val="24"/>
          <w:szCs w:val="24"/>
          <w:lang w:val="en-US"/>
        </w:rPr>
        <w:t xml:space="preserve">Figure </w:t>
      </w:r>
      <w:r w:rsidR="00B762C7" w:rsidRPr="00B762C7">
        <w:rPr>
          <w:rFonts w:ascii="Times New Roman" w:hAnsi="Times New Roman"/>
          <w:bCs/>
          <w:sz w:val="24"/>
          <w:szCs w:val="24"/>
          <w:lang w:val="en-US"/>
        </w:rPr>
        <w:t>17</w:t>
      </w:r>
      <w:r w:rsidRPr="00141BED">
        <w:rPr>
          <w:rFonts w:ascii="Times New Roman" w:hAnsi="Times New Roman"/>
          <w:bCs/>
          <w:sz w:val="24"/>
          <w:szCs w:val="24"/>
          <w:lang w:val="en-US"/>
        </w:rPr>
        <w:t xml:space="preserve"> - </w:t>
      </w:r>
      <w:r w:rsidR="001C4554" w:rsidRPr="00141BED">
        <w:rPr>
          <w:rFonts w:ascii="Times New Roman" w:hAnsi="Times New Roman"/>
          <w:bCs/>
          <w:sz w:val="24"/>
          <w:szCs w:val="24"/>
          <w:lang w:val="en-US"/>
        </w:rPr>
        <w:t>Relationship</w:t>
      </w:r>
      <w:r w:rsidRPr="00141BED">
        <w:rPr>
          <w:rFonts w:ascii="Times New Roman" w:hAnsi="Times New Roman"/>
          <w:bCs/>
          <w:sz w:val="24"/>
          <w:szCs w:val="24"/>
          <w:lang w:val="en-US"/>
        </w:rPr>
        <w:t xml:space="preserve"> between Scots pine growth and environmental factors</w:t>
      </w:r>
    </w:p>
    <w:p w:rsidR="005D41EF" w:rsidRPr="00141BED" w:rsidRDefault="005D41EF" w:rsidP="00141BED">
      <w:pPr>
        <w:spacing w:after="0" w:line="360" w:lineRule="auto"/>
        <w:ind w:firstLine="567"/>
        <w:jc w:val="both"/>
        <w:rPr>
          <w:rFonts w:ascii="Times New Roman" w:hAnsi="Times New Roman"/>
          <w:noProof/>
          <w:sz w:val="24"/>
          <w:szCs w:val="24"/>
          <w:lang w:val="en-US" w:eastAsia="ru-RU"/>
        </w:rPr>
      </w:pPr>
    </w:p>
    <w:p w:rsidR="005D41EF" w:rsidRPr="00141BED" w:rsidRDefault="005D41E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It is not possible to unequivocally state the influence of solar activity maxima on the magnitude of the radial growth of Scots pine, because bursts of solar flares both negatively and positively affected growth. Only at a young age did pine plantations quite accurately follow the 11-year solar cycle, having the largest increments in the recession branches and a decrease in growth in the epoch of maximum solar activity. It is necessary to compare not only solar cycles, but also the weather and soil conditions of growth, the origin of the planting, and other factors.</w:t>
      </w:r>
    </w:p>
    <w:p w:rsidR="005D41EF" w:rsidRPr="00141BED" w:rsidRDefault="005D41E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Judging by the growth of pine in the forest cultures "Burabay" SNNP, it is impossible to say unequivocally that the maximum growth of pine reaches in certain phases of SA (figure </w:t>
      </w:r>
      <w:r w:rsidR="00B762C7" w:rsidRPr="00B762C7">
        <w:rPr>
          <w:rFonts w:ascii="Times New Roman" w:hAnsi="Times New Roman"/>
          <w:sz w:val="24"/>
          <w:szCs w:val="24"/>
          <w:lang w:val="en-US"/>
        </w:rPr>
        <w:t>18</w:t>
      </w:r>
      <w:r w:rsidRPr="00141BED">
        <w:rPr>
          <w:rFonts w:ascii="Times New Roman" w:hAnsi="Times New Roman"/>
          <w:sz w:val="24"/>
          <w:szCs w:val="24"/>
          <w:lang w:val="en-US"/>
        </w:rPr>
        <w:t>). In the periods from 1992 to 1998 and from 2004 to 2010, pine had the greatest growth in the years of low temperature. In years with a Wolf number of more than 130, the width of the annual rings decreases</w:t>
      </w:r>
    </w:p>
    <w:p w:rsidR="00A820F1" w:rsidRPr="00AB5692" w:rsidRDefault="005D41EF" w:rsidP="00B762C7">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If in all the studied plantings there was a clear difference between the minimum and maximum increments of Scots pine in years with different solar activity, then in these forest crops such a difference is not observed. The maximum increments are laid in years with the Wolf number from 15 to 117, the minimum increments - with the Wolf number from 4 to 157.</w:t>
      </w:r>
    </w:p>
    <w:p w:rsidR="00B762C7" w:rsidRPr="00141BED" w:rsidRDefault="00B762C7" w:rsidP="00B762C7">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In the natural pine forests of the "Semey Ormany" SFNR, the maximum growth of Scots pine mainly occurred during the decline branch or the minimum of solar activity.</w:t>
      </w:r>
    </w:p>
    <w:p w:rsidR="00B762C7" w:rsidRPr="00141BED" w:rsidRDefault="00B762C7" w:rsidP="00B762C7">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There were three main maxima of growth of Scots pine – in 1928, 1960 and 1995 (figure </w:t>
      </w:r>
      <w:r w:rsidR="00BB585F" w:rsidRPr="00BB585F">
        <w:rPr>
          <w:rFonts w:ascii="Times New Roman" w:hAnsi="Times New Roman"/>
          <w:sz w:val="24"/>
          <w:szCs w:val="24"/>
          <w:lang w:val="en-US"/>
        </w:rPr>
        <w:t>19</w:t>
      </w:r>
      <w:r w:rsidRPr="00141BED">
        <w:rPr>
          <w:rFonts w:ascii="Times New Roman" w:hAnsi="Times New Roman"/>
          <w:sz w:val="24"/>
          <w:szCs w:val="24"/>
          <w:lang w:val="en-US"/>
        </w:rPr>
        <w:t>). In 1928, there was a maximum of solar activity, but it was characterized by a small Wolf number (78). The pine growth rate in 1960, which was the highest for all years of observation, fell on the branch of the SA decline, but the Wolf number was quite large – 112. In 1995, solar activity was minimal (W – 15).</w:t>
      </w:r>
    </w:p>
    <w:p w:rsidR="00D6009D" w:rsidRPr="00141BED" w:rsidRDefault="00D6009D" w:rsidP="00141BED">
      <w:pPr>
        <w:spacing w:after="0" w:line="360" w:lineRule="auto"/>
        <w:jc w:val="both"/>
        <w:rPr>
          <w:rFonts w:ascii="Times New Roman" w:hAnsi="Times New Roman"/>
          <w:sz w:val="24"/>
          <w:szCs w:val="24"/>
        </w:rPr>
      </w:pPr>
      <w:r w:rsidRPr="00141BED">
        <w:rPr>
          <w:rFonts w:ascii="Times New Roman" w:hAnsi="Times New Roman"/>
          <w:noProof/>
          <w:sz w:val="24"/>
          <w:szCs w:val="24"/>
          <w:lang w:eastAsia="ru-RU"/>
        </w:rPr>
        <w:lastRenderedPageBreak/>
        <w:drawing>
          <wp:inline distT="0" distB="0" distL="0" distR="0" wp14:anchorId="694CA085" wp14:editId="3BB71018">
            <wp:extent cx="5939790" cy="2685415"/>
            <wp:effectExtent l="0" t="0" r="3810" b="63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20F1" w:rsidRPr="00141BED" w:rsidRDefault="00A820F1" w:rsidP="00141BED">
      <w:pPr>
        <w:spacing w:after="0" w:line="360" w:lineRule="auto"/>
        <w:jc w:val="both"/>
        <w:rPr>
          <w:rFonts w:ascii="Times New Roman" w:hAnsi="Times New Roman"/>
          <w:sz w:val="24"/>
          <w:szCs w:val="24"/>
          <w:lang w:val="en-US"/>
        </w:rPr>
      </w:pPr>
    </w:p>
    <w:p w:rsidR="00A820F1" w:rsidRPr="00141BED" w:rsidRDefault="00812633"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 xml:space="preserve">Figure </w:t>
      </w:r>
      <w:r w:rsidR="00B762C7" w:rsidRPr="00B762C7">
        <w:rPr>
          <w:rFonts w:ascii="Times New Roman" w:hAnsi="Times New Roman"/>
          <w:sz w:val="24"/>
          <w:szCs w:val="24"/>
          <w:lang w:val="en-US"/>
        </w:rPr>
        <w:t>18</w:t>
      </w:r>
      <w:r w:rsidRPr="00141BED">
        <w:rPr>
          <w:rFonts w:ascii="Times New Roman" w:hAnsi="Times New Roman"/>
          <w:sz w:val="24"/>
          <w:szCs w:val="24"/>
          <w:lang w:val="en-US"/>
        </w:rPr>
        <w:t xml:space="preserve"> - </w:t>
      </w:r>
      <w:r w:rsidR="001C4554" w:rsidRPr="00141BED">
        <w:rPr>
          <w:rFonts w:ascii="Times New Roman" w:hAnsi="Times New Roman"/>
          <w:sz w:val="24"/>
          <w:szCs w:val="24"/>
          <w:lang w:val="en-US"/>
        </w:rPr>
        <w:t>Indices</w:t>
      </w:r>
      <w:r w:rsidRPr="00141BED">
        <w:rPr>
          <w:rFonts w:ascii="Times New Roman" w:hAnsi="Times New Roman"/>
          <w:sz w:val="24"/>
          <w:szCs w:val="24"/>
          <w:lang w:val="en-US"/>
        </w:rPr>
        <w:t xml:space="preserve"> of radial growth of Scots pine and indicator of solar activity in forest crops "Burabay" SNNP</w:t>
      </w:r>
    </w:p>
    <w:p w:rsidR="00A820F1" w:rsidRPr="00141BED" w:rsidRDefault="00A820F1" w:rsidP="00141BED">
      <w:pPr>
        <w:spacing w:after="0" w:line="360" w:lineRule="auto"/>
        <w:ind w:firstLine="567"/>
        <w:jc w:val="both"/>
        <w:rPr>
          <w:rFonts w:ascii="Times New Roman" w:hAnsi="Times New Roman"/>
          <w:sz w:val="24"/>
          <w:szCs w:val="24"/>
          <w:lang w:val="en-US"/>
        </w:rPr>
      </w:pPr>
    </w:p>
    <w:p w:rsidR="00D6009D" w:rsidRPr="00141BED" w:rsidRDefault="00D6009D" w:rsidP="00141BED">
      <w:pPr>
        <w:spacing w:after="0" w:line="360" w:lineRule="auto"/>
        <w:rPr>
          <w:rFonts w:ascii="Times New Roman" w:hAnsi="Times New Roman"/>
          <w:sz w:val="24"/>
          <w:szCs w:val="24"/>
        </w:rPr>
      </w:pPr>
      <w:r w:rsidRPr="00141BED">
        <w:rPr>
          <w:rFonts w:ascii="Times New Roman" w:hAnsi="Times New Roman"/>
          <w:noProof/>
          <w:sz w:val="24"/>
          <w:szCs w:val="24"/>
          <w:lang w:eastAsia="ru-RU"/>
        </w:rPr>
        <w:drawing>
          <wp:inline distT="0" distB="0" distL="0" distR="0" wp14:anchorId="78F13345" wp14:editId="5848D401">
            <wp:extent cx="5247640" cy="2108835"/>
            <wp:effectExtent l="0" t="0" r="0" b="571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009D" w:rsidRPr="00141BED" w:rsidRDefault="00D6009D" w:rsidP="00141BED">
      <w:pPr>
        <w:spacing w:after="0" w:line="360" w:lineRule="auto"/>
        <w:rPr>
          <w:rFonts w:ascii="Times New Roman" w:hAnsi="Times New Roman"/>
          <w:sz w:val="24"/>
          <w:szCs w:val="24"/>
        </w:rPr>
      </w:pPr>
    </w:p>
    <w:p w:rsidR="00A820F1" w:rsidRPr="00141BED" w:rsidRDefault="00812633" w:rsidP="00141BED">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 xml:space="preserve">Figure </w:t>
      </w:r>
      <w:r w:rsidR="00BB585F" w:rsidRPr="00BB585F">
        <w:rPr>
          <w:rFonts w:ascii="Times New Roman" w:hAnsi="Times New Roman"/>
          <w:sz w:val="24"/>
          <w:szCs w:val="24"/>
          <w:lang w:val="en-US"/>
        </w:rPr>
        <w:t>19</w:t>
      </w:r>
      <w:r w:rsidRPr="00141BED">
        <w:rPr>
          <w:rFonts w:ascii="Times New Roman" w:hAnsi="Times New Roman"/>
          <w:sz w:val="24"/>
          <w:szCs w:val="24"/>
          <w:lang w:val="en-US"/>
        </w:rPr>
        <w:t xml:space="preserve"> - Indices of the radial growth of Scots pine and the index of solar activity in natural plantations in "Semey Ormany" SFNR</w:t>
      </w:r>
    </w:p>
    <w:p w:rsidR="00812633" w:rsidRPr="00141BED" w:rsidRDefault="00812633" w:rsidP="00141BED">
      <w:pPr>
        <w:spacing w:after="0" w:line="360" w:lineRule="auto"/>
        <w:jc w:val="both"/>
        <w:rPr>
          <w:rFonts w:ascii="Times New Roman" w:hAnsi="Times New Roman"/>
          <w:sz w:val="24"/>
          <w:szCs w:val="24"/>
          <w:lang w:val="en-US"/>
        </w:rPr>
      </w:pPr>
    </w:p>
    <w:p w:rsidR="00BB585F" w:rsidRPr="00141BED" w:rsidRDefault="00BB585F" w:rsidP="00BB585F">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minimum growth of pine was observed on the branches of the decline and growth of SA, slightly – in the era of the minimum.</w:t>
      </w:r>
    </w:p>
    <w:p w:rsidR="00BB585F" w:rsidRPr="00141BED" w:rsidRDefault="00BB585F" w:rsidP="00BB585F">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An interesting fact is that since 1918, when the plantation reached 48 years old, the amplitude of increments almost completely coincided with the amplitude of solar activity. In the years of the active Sun, the increments were greatest, in the epoch of minimum - the smallest. During this period, the increments almost exactly obeyed the 11-year solar cycle. Since 1990, the maximum SA has negatively affected the growth rate, significantly reducing them.</w:t>
      </w:r>
    </w:p>
    <w:p w:rsidR="00A820F1" w:rsidRPr="00141BED" w:rsidRDefault="00812633" w:rsidP="00141BED">
      <w:pPr>
        <w:spacing w:after="0" w:line="360" w:lineRule="auto"/>
        <w:ind w:firstLine="708"/>
        <w:jc w:val="both"/>
        <w:rPr>
          <w:rFonts w:ascii="Times New Roman" w:hAnsi="Times New Roman"/>
          <w:sz w:val="24"/>
          <w:szCs w:val="24"/>
          <w:lang w:val="en-US"/>
        </w:rPr>
      </w:pPr>
      <w:r w:rsidRPr="00141BED">
        <w:rPr>
          <w:rFonts w:ascii="Times New Roman" w:hAnsi="Times New Roman"/>
          <w:sz w:val="24"/>
          <w:szCs w:val="24"/>
          <w:lang w:val="en-US"/>
        </w:rPr>
        <w:lastRenderedPageBreak/>
        <w:t xml:space="preserve">At the beginning of the plant life, the period between the maximum </w:t>
      </w:r>
      <w:proofErr w:type="gramStart"/>
      <w:r w:rsidRPr="00141BED">
        <w:rPr>
          <w:rFonts w:ascii="Times New Roman" w:hAnsi="Times New Roman"/>
          <w:sz w:val="24"/>
          <w:szCs w:val="24"/>
          <w:lang w:val="en-US"/>
        </w:rPr>
        <w:t>growth</w:t>
      </w:r>
      <w:proofErr w:type="gramEnd"/>
      <w:r w:rsidRPr="00141BED">
        <w:rPr>
          <w:rFonts w:ascii="Times New Roman" w:hAnsi="Times New Roman"/>
          <w:sz w:val="24"/>
          <w:szCs w:val="24"/>
          <w:lang w:val="en-US"/>
        </w:rPr>
        <w:t xml:space="preserve"> was from 7 to 10 years, with the achievement of an older age, starting from the 3rd grade of age, the growth periods of trees were almost exactly distributed over an 11-year cycle.</w:t>
      </w:r>
      <w:r w:rsidR="00E91DAC" w:rsidRPr="00E91DAC">
        <w:rPr>
          <w:rFonts w:ascii="Times New Roman" w:hAnsi="Times New Roman"/>
          <w:sz w:val="24"/>
          <w:szCs w:val="24"/>
          <w:lang w:val="en-US"/>
        </w:rPr>
        <w:t xml:space="preserve"> </w:t>
      </w:r>
      <w:r w:rsidRPr="00141BED">
        <w:rPr>
          <w:rFonts w:ascii="Times New Roman" w:hAnsi="Times New Roman"/>
          <w:sz w:val="24"/>
          <w:szCs w:val="24"/>
          <w:lang w:val="en-US"/>
        </w:rPr>
        <w:t>The minimum growth of pine occurs in years with a small SA, and</w:t>
      </w:r>
      <w:r w:rsidR="00D6009D" w:rsidRPr="00141BED">
        <w:rPr>
          <w:rFonts w:ascii="Times New Roman" w:hAnsi="Times New Roman"/>
          <w:sz w:val="24"/>
          <w:szCs w:val="24"/>
          <w:lang w:val="en-US"/>
        </w:rPr>
        <w:t xml:space="preserve"> the maximum – on the contrary</w:t>
      </w:r>
      <w:r w:rsidRPr="00141BED">
        <w:rPr>
          <w:rFonts w:ascii="Times New Roman" w:hAnsi="Times New Roman"/>
          <w:sz w:val="24"/>
          <w:szCs w:val="24"/>
          <w:lang w:val="en-US"/>
        </w:rPr>
        <w:t>.</w:t>
      </w:r>
    </w:p>
    <w:p w:rsidR="00812633" w:rsidRPr="00141BED" w:rsidRDefault="00812633" w:rsidP="00141BED">
      <w:pPr>
        <w:spacing w:after="0" w:line="360" w:lineRule="auto"/>
        <w:ind w:firstLine="708"/>
        <w:jc w:val="both"/>
        <w:rPr>
          <w:rFonts w:ascii="Times New Roman" w:hAnsi="Times New Roman"/>
          <w:sz w:val="24"/>
          <w:szCs w:val="24"/>
          <w:lang w:val="en-US"/>
        </w:rPr>
      </w:pPr>
      <w:r w:rsidRPr="00141BED">
        <w:rPr>
          <w:rFonts w:ascii="Times New Roman" w:hAnsi="Times New Roman"/>
          <w:sz w:val="24"/>
          <w:szCs w:val="24"/>
          <w:lang w:val="en-US"/>
        </w:rPr>
        <w:t>In the trial plot located in the SFNR "Semey ormany" forest crops, the maximum growth was observed in the initial period of tree growth with minimal solar activity in 1986.</w:t>
      </w:r>
    </w:p>
    <w:p w:rsidR="00A820F1" w:rsidRPr="00AB5692" w:rsidRDefault="00812633"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In the second and third grade of age, the maximum increase was on the decline branch, 2-4 years after the maximum solar activity. In the fourth grade of age, the minimum increase was observed at the maximum SA, on the contrary, in 2018, at the minimum SA, the increase was maximum (figure </w:t>
      </w:r>
      <w:r w:rsidR="00E91DAC" w:rsidRPr="00E91DAC">
        <w:rPr>
          <w:rFonts w:ascii="Times New Roman" w:hAnsi="Times New Roman"/>
          <w:sz w:val="24"/>
          <w:szCs w:val="24"/>
          <w:lang w:val="en-US"/>
        </w:rPr>
        <w:t>20</w:t>
      </w:r>
      <w:r w:rsidRPr="00141BED">
        <w:rPr>
          <w:rFonts w:ascii="Times New Roman" w:hAnsi="Times New Roman"/>
          <w:sz w:val="24"/>
          <w:szCs w:val="24"/>
          <w:lang w:val="en-US"/>
        </w:rPr>
        <w:t>).</w:t>
      </w:r>
    </w:p>
    <w:p w:rsidR="00E91DAC" w:rsidRPr="00AB5692" w:rsidRDefault="00E91DAC" w:rsidP="00141BED">
      <w:pPr>
        <w:spacing w:after="0" w:line="360" w:lineRule="auto"/>
        <w:ind w:firstLine="567"/>
        <w:jc w:val="both"/>
        <w:rPr>
          <w:rFonts w:ascii="Times New Roman" w:hAnsi="Times New Roman"/>
          <w:sz w:val="24"/>
          <w:szCs w:val="24"/>
          <w:lang w:val="en-US"/>
        </w:rPr>
      </w:pPr>
    </w:p>
    <w:p w:rsidR="0009307E" w:rsidRPr="00141BED" w:rsidRDefault="0009307E" w:rsidP="00141BED">
      <w:pPr>
        <w:spacing w:after="0" w:line="360" w:lineRule="auto"/>
        <w:rPr>
          <w:rFonts w:ascii="Times New Roman" w:hAnsi="Times New Roman"/>
          <w:sz w:val="24"/>
          <w:szCs w:val="24"/>
        </w:rPr>
      </w:pPr>
      <w:r w:rsidRPr="00141BED">
        <w:rPr>
          <w:rFonts w:ascii="Times New Roman" w:hAnsi="Times New Roman"/>
          <w:noProof/>
          <w:sz w:val="24"/>
          <w:szCs w:val="24"/>
          <w:lang w:eastAsia="ru-RU"/>
        </w:rPr>
        <w:drawing>
          <wp:inline distT="0" distB="0" distL="0" distR="0" wp14:anchorId="7CFA0074" wp14:editId="1DF05708">
            <wp:extent cx="4860290" cy="244665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12633" w:rsidRPr="00141BED" w:rsidRDefault="00812633" w:rsidP="00141BED">
      <w:pPr>
        <w:spacing w:after="0" w:line="360" w:lineRule="auto"/>
        <w:rPr>
          <w:rFonts w:ascii="Times New Roman" w:hAnsi="Times New Roman"/>
          <w:sz w:val="24"/>
          <w:szCs w:val="24"/>
          <w:lang w:val="en-US"/>
        </w:rPr>
      </w:pPr>
    </w:p>
    <w:p w:rsidR="00A820F1" w:rsidRPr="00141BED" w:rsidRDefault="0029216C" w:rsidP="00141BED">
      <w:pPr>
        <w:spacing w:after="0" w:line="360" w:lineRule="auto"/>
        <w:jc w:val="center"/>
        <w:rPr>
          <w:rFonts w:ascii="Times New Roman" w:hAnsi="Times New Roman"/>
          <w:bCs/>
          <w:sz w:val="24"/>
          <w:szCs w:val="24"/>
          <w:lang w:val="en-US"/>
        </w:rPr>
      </w:pPr>
      <w:r w:rsidRPr="00141BED">
        <w:rPr>
          <w:rFonts w:ascii="Times New Roman" w:hAnsi="Times New Roman"/>
          <w:bCs/>
          <w:sz w:val="24"/>
          <w:szCs w:val="24"/>
          <w:lang w:val="en-US"/>
        </w:rPr>
        <w:t xml:space="preserve">Figure </w:t>
      </w:r>
      <w:r w:rsidR="00E91DAC" w:rsidRPr="00E91DAC">
        <w:rPr>
          <w:rFonts w:ascii="Times New Roman" w:hAnsi="Times New Roman"/>
          <w:bCs/>
          <w:sz w:val="24"/>
          <w:szCs w:val="24"/>
          <w:lang w:val="en-US"/>
        </w:rPr>
        <w:t>20</w:t>
      </w:r>
      <w:r w:rsidRPr="00141BED">
        <w:rPr>
          <w:rFonts w:ascii="Times New Roman" w:hAnsi="Times New Roman"/>
          <w:bCs/>
          <w:sz w:val="24"/>
          <w:szCs w:val="24"/>
          <w:lang w:val="en-US"/>
        </w:rPr>
        <w:t xml:space="preserve"> – Dependence of the radial growth of Scots pine on changes in solar activity in the forest cultures of the "Semey ormany" SFNR</w:t>
      </w:r>
    </w:p>
    <w:p w:rsidR="0029216C" w:rsidRPr="00141BED" w:rsidRDefault="0029216C" w:rsidP="00141BED">
      <w:pPr>
        <w:spacing w:after="0" w:line="360" w:lineRule="auto"/>
        <w:jc w:val="center"/>
        <w:rPr>
          <w:rFonts w:ascii="Times New Roman" w:hAnsi="Times New Roman"/>
          <w:sz w:val="24"/>
          <w:szCs w:val="24"/>
          <w:lang w:val="en-US"/>
        </w:rPr>
      </w:pPr>
    </w:p>
    <w:p w:rsidR="00A820F1" w:rsidRPr="00141BED" w:rsidRDefault="008928D8" w:rsidP="00141BED">
      <w:pPr>
        <w:spacing w:after="0" w:line="360" w:lineRule="auto"/>
        <w:ind w:firstLine="567"/>
        <w:jc w:val="both"/>
        <w:rPr>
          <w:rFonts w:ascii="Times New Roman" w:hAnsi="Times New Roman"/>
          <w:sz w:val="24"/>
          <w:szCs w:val="24"/>
          <w:lang w:val="en-US"/>
        </w:rPr>
      </w:pPr>
      <w:proofErr w:type="gramStart"/>
      <w:r w:rsidRPr="00141BED">
        <w:rPr>
          <w:rFonts w:ascii="Times New Roman" w:hAnsi="Times New Roman"/>
          <w:sz w:val="24"/>
          <w:szCs w:val="24"/>
          <w:lang w:val="en-US"/>
        </w:rPr>
        <w:t>S</w:t>
      </w:r>
      <w:r w:rsidR="0029216C" w:rsidRPr="00141BED">
        <w:rPr>
          <w:rFonts w:ascii="Times New Roman" w:hAnsi="Times New Roman"/>
          <w:sz w:val="24"/>
          <w:szCs w:val="24"/>
          <w:lang w:val="en-US"/>
        </w:rPr>
        <w:t>hows the maximum and minimum values of growth, regardless of the year of research.</w:t>
      </w:r>
      <w:proofErr w:type="gramEnd"/>
      <w:r w:rsidR="0029216C" w:rsidRPr="00141BED">
        <w:rPr>
          <w:rFonts w:ascii="Times New Roman" w:hAnsi="Times New Roman"/>
          <w:sz w:val="24"/>
          <w:szCs w:val="24"/>
          <w:lang w:val="en-US"/>
        </w:rPr>
        <w:t xml:space="preserve"> The data was compared with the Wolf number. It can be seen that the minimum increments of pine occur in years with a lower SA compared to the maximum increments, but this difference is insignificant.</w:t>
      </w:r>
      <w:r w:rsidR="00A820F1" w:rsidRPr="00141BED">
        <w:rPr>
          <w:rFonts w:ascii="Times New Roman" w:hAnsi="Times New Roman"/>
          <w:sz w:val="24"/>
          <w:szCs w:val="24"/>
          <w:lang w:val="en-US"/>
        </w:rPr>
        <w:t xml:space="preserve"> </w:t>
      </w:r>
    </w:p>
    <w:p w:rsidR="00C2545F" w:rsidRPr="00141B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 </w:t>
      </w:r>
      <w:r w:rsidR="00C2545F" w:rsidRPr="00141BED">
        <w:rPr>
          <w:rFonts w:ascii="Times New Roman" w:hAnsi="Times New Roman"/>
          <w:sz w:val="24"/>
          <w:szCs w:val="24"/>
          <w:lang w:val="en-US"/>
        </w:rPr>
        <w:t xml:space="preserve">It is impossible to state unequivocally that for all the years of research, the trend of maximum growth of pine trees remains in years with increased solar activity, and the minimum values – in years of its decline. In our observations, several years with the minimum growth index (1990, 2000, and 2012) fall on the years with the maximum solar activity. In contrast, with the maximum increases in 1986, 1995, and 2007 and 2018, there was a decrease in solar activity </w:t>
      </w:r>
      <w:r w:rsidR="00C2545F" w:rsidRPr="00141BED">
        <w:rPr>
          <w:rFonts w:ascii="Times New Roman" w:hAnsi="Times New Roman"/>
          <w:sz w:val="24"/>
          <w:szCs w:val="24"/>
          <w:lang w:val="en-US"/>
        </w:rPr>
        <w:lastRenderedPageBreak/>
        <w:t xml:space="preserve">and the Wolf number fluctuated </w:t>
      </w:r>
      <w:proofErr w:type="gramStart"/>
      <w:r w:rsidR="00C2545F" w:rsidRPr="00141BED">
        <w:rPr>
          <w:rFonts w:ascii="Times New Roman" w:hAnsi="Times New Roman"/>
          <w:sz w:val="24"/>
          <w:szCs w:val="24"/>
          <w:lang w:val="en-US"/>
        </w:rPr>
        <w:t>between 4-15</w:t>
      </w:r>
      <w:proofErr w:type="gramEnd"/>
      <w:r w:rsidR="00C2545F" w:rsidRPr="00141BED">
        <w:rPr>
          <w:rFonts w:ascii="Times New Roman" w:hAnsi="Times New Roman"/>
          <w:sz w:val="24"/>
          <w:szCs w:val="24"/>
          <w:lang w:val="en-US"/>
        </w:rPr>
        <w:t>. However, we found a certain tendency to increase growth during the years of maximum solar activity.</w:t>
      </w:r>
      <w:r w:rsidRPr="00141BED">
        <w:rPr>
          <w:rFonts w:ascii="Times New Roman" w:hAnsi="Times New Roman"/>
          <w:sz w:val="24"/>
          <w:szCs w:val="24"/>
          <w:lang w:val="en-US"/>
        </w:rPr>
        <w:t xml:space="preserve"> </w:t>
      </w:r>
      <w:r w:rsidR="00C2545F" w:rsidRPr="00141BED">
        <w:rPr>
          <w:rFonts w:ascii="Times New Roman" w:hAnsi="Times New Roman"/>
          <w:sz w:val="24"/>
          <w:szCs w:val="24"/>
          <w:lang w:val="en-US"/>
        </w:rPr>
        <w:t>Our data are diametrically opposed to the studies of Lipatkin V. A. and others [53], who found that pine reaches the greatest growth during low Solar activity, but they completely coincide with the data of A. Deglass [44]. To identify the contrast of the influence of solar activity in the years of maximum and minimum increases, the ratio of them to each other as a percentage was used. The total number of wolf numbers in the years of maximum growth was 1099, in the years of minimum growth – 476, the ratio between them is 56.69%. The anomaly index was 1.16.</w:t>
      </w:r>
    </w:p>
    <w:p w:rsidR="00A820F1" w:rsidRPr="00AB5692" w:rsidRDefault="00B44163"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Consequently, the largest annual increases were characterized by forest crops of Scots pine until they reached 7 years of age, then there was a decline and at the age of 14 to 16 years there was an increase in the value of radial growth. This confirms the hypothesis of a 7-year pine growth cycle. At a young age, the pine tree had the greatest growth during low solar activity; at an older age, it accelerated its growth during high </w:t>
      </w:r>
      <w:proofErr w:type="gramStart"/>
      <w:r w:rsidRPr="00141BED">
        <w:rPr>
          <w:rFonts w:ascii="Times New Roman" w:hAnsi="Times New Roman"/>
          <w:sz w:val="24"/>
          <w:szCs w:val="24"/>
          <w:lang w:val="en-US"/>
        </w:rPr>
        <w:t>Solar</w:t>
      </w:r>
      <w:proofErr w:type="gramEnd"/>
      <w:r w:rsidRPr="00141BED">
        <w:rPr>
          <w:rFonts w:ascii="Times New Roman" w:hAnsi="Times New Roman"/>
          <w:sz w:val="24"/>
          <w:szCs w:val="24"/>
          <w:lang w:val="en-US"/>
        </w:rPr>
        <w:t xml:space="preserve"> activity. In General, the maximum growth of Scots pine in the East Kazakhstan region reached during strong </w:t>
      </w:r>
      <w:proofErr w:type="gramStart"/>
      <w:r w:rsidRPr="00141BED">
        <w:rPr>
          <w:rFonts w:ascii="Times New Roman" w:hAnsi="Times New Roman"/>
          <w:sz w:val="24"/>
          <w:szCs w:val="24"/>
          <w:lang w:val="en-US"/>
        </w:rPr>
        <w:t>Solar</w:t>
      </w:r>
      <w:proofErr w:type="gramEnd"/>
      <w:r w:rsidRPr="00141BED">
        <w:rPr>
          <w:rFonts w:ascii="Times New Roman" w:hAnsi="Times New Roman"/>
          <w:sz w:val="24"/>
          <w:szCs w:val="24"/>
          <w:lang w:val="en-US"/>
        </w:rPr>
        <w:t xml:space="preserve"> activity, the anomaly index was 1.72%.</w:t>
      </w:r>
    </w:p>
    <w:p w:rsidR="006012AB" w:rsidRPr="00AB5692" w:rsidRDefault="006012AB" w:rsidP="00141BED">
      <w:pPr>
        <w:spacing w:after="0" w:line="360" w:lineRule="auto"/>
        <w:ind w:firstLine="567"/>
        <w:jc w:val="both"/>
        <w:rPr>
          <w:rFonts w:ascii="Times New Roman" w:hAnsi="Times New Roman"/>
          <w:sz w:val="24"/>
          <w:szCs w:val="24"/>
          <w:lang w:val="en-US"/>
        </w:rPr>
      </w:pPr>
    </w:p>
    <w:p w:rsidR="00EC4242" w:rsidRPr="00141B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3</w:t>
      </w:r>
      <w:r w:rsidRPr="00141BED">
        <w:rPr>
          <w:rFonts w:ascii="Times New Roman" w:hAnsi="Times New Roman"/>
          <w:b/>
          <w:sz w:val="24"/>
          <w:szCs w:val="24"/>
          <w:lang w:val="en-US"/>
        </w:rPr>
        <w:t xml:space="preserve">.5 </w:t>
      </w:r>
      <w:r w:rsidR="00EC4242" w:rsidRPr="00141BED">
        <w:rPr>
          <w:rFonts w:ascii="Times New Roman" w:hAnsi="Times New Roman"/>
          <w:b/>
          <w:sz w:val="24"/>
          <w:szCs w:val="24"/>
          <w:lang w:val="en-US"/>
        </w:rPr>
        <w:t>Development of a forecast for the development of pine plantations based on the study of their growth as a result of dendrochronological studies</w:t>
      </w:r>
    </w:p>
    <w:p w:rsidR="008928D8" w:rsidRPr="00141BED" w:rsidRDefault="008928D8" w:rsidP="00141BED">
      <w:pPr>
        <w:spacing w:after="0" w:line="360" w:lineRule="auto"/>
        <w:ind w:firstLine="567"/>
        <w:jc w:val="both"/>
        <w:rPr>
          <w:rFonts w:ascii="Times New Roman" w:hAnsi="Times New Roman"/>
          <w:sz w:val="24"/>
          <w:szCs w:val="24"/>
          <w:lang w:val="en-US"/>
        </w:rPr>
      </w:pPr>
    </w:p>
    <w:p w:rsidR="00EC4242" w:rsidRPr="00141BED" w:rsidRDefault="00EC4242"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To determine the features of unity in growth in natural and artificial plantings growing in different conditions, an analysis of the coincidence of growth indices greater than and less than the norm (100%), as well as by the criterion of rigidity (more than 110 and less than 90%) was carried out.</w:t>
      </w:r>
    </w:p>
    <w:p w:rsidR="00A820F1" w:rsidRPr="00141BED" w:rsidRDefault="00EC4242" w:rsidP="00F813EF">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Table 6 shows that the greatest number of years, characterized by growth indices of both more than 100% and less than 100%, for all the studied plantings was observed on the branch of the SA decline.</w:t>
      </w:r>
    </w:p>
    <w:p w:rsidR="00F813EF" w:rsidRPr="00141BED" w:rsidRDefault="00F813EF" w:rsidP="00F813EF">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Moreover, the years with the maximum growth indices on the decline branch were from 35.71 to 57.14%, and with the minimum – from 30.0 to 42.31%. Years with minimum growth indices are more common (50.0-54.7%) than years with maximum growth (44.7-50.0%). Fluctuations in index values in the plantings of the "Semey ormany" SFNR are more diverse in comparison with the growth of pine in the "Burabai" SNNP.</w:t>
      </w:r>
    </w:p>
    <w:p w:rsidR="00F813EF" w:rsidRDefault="00F813EF">
      <w:pPr>
        <w:spacing w:after="160" w:line="259" w:lineRule="auto"/>
        <w:rPr>
          <w:rFonts w:ascii="Times New Roman" w:hAnsi="Times New Roman"/>
          <w:sz w:val="24"/>
          <w:szCs w:val="24"/>
          <w:lang w:val="en-US"/>
        </w:rPr>
      </w:pPr>
      <w:r>
        <w:rPr>
          <w:rFonts w:ascii="Times New Roman" w:hAnsi="Times New Roman"/>
          <w:sz w:val="24"/>
          <w:szCs w:val="24"/>
          <w:lang w:val="en-US"/>
        </w:rPr>
        <w:br w:type="page"/>
      </w:r>
    </w:p>
    <w:p w:rsidR="00A820F1" w:rsidRPr="00141BED" w:rsidRDefault="00EC4242" w:rsidP="00141BED">
      <w:pPr>
        <w:spacing w:after="0" w:line="360" w:lineRule="auto"/>
        <w:rPr>
          <w:rFonts w:ascii="Times New Roman" w:hAnsi="Times New Roman"/>
          <w:sz w:val="24"/>
          <w:szCs w:val="24"/>
          <w:lang w:val="en-US"/>
        </w:rPr>
      </w:pPr>
      <w:r w:rsidRPr="00141BED">
        <w:rPr>
          <w:rFonts w:ascii="Times New Roman" w:hAnsi="Times New Roman"/>
          <w:sz w:val="24"/>
          <w:szCs w:val="24"/>
          <w:lang w:val="en-US"/>
        </w:rPr>
        <w:lastRenderedPageBreak/>
        <w:t xml:space="preserve">Table 6 </w:t>
      </w:r>
      <w:r w:rsidR="006012AB" w:rsidRPr="00141BED">
        <w:rPr>
          <w:rFonts w:ascii="Times New Roman" w:hAnsi="Times New Roman"/>
          <w:sz w:val="24"/>
          <w:szCs w:val="24"/>
          <w:lang w:val="en-US"/>
        </w:rPr>
        <w:t>– N</w:t>
      </w:r>
      <w:r w:rsidRPr="00141BED">
        <w:rPr>
          <w:rFonts w:ascii="Times New Roman" w:hAnsi="Times New Roman"/>
          <w:sz w:val="24"/>
          <w:szCs w:val="24"/>
          <w:lang w:val="en-US"/>
        </w:rPr>
        <w:t>umber of years (%) with maximum and minimum growth indices</w:t>
      </w:r>
    </w:p>
    <w:tbl>
      <w:tblPr>
        <w:tblW w:w="94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817"/>
        <w:gridCol w:w="1032"/>
        <w:gridCol w:w="1032"/>
        <w:gridCol w:w="960"/>
        <w:gridCol w:w="960"/>
        <w:gridCol w:w="960"/>
        <w:gridCol w:w="960"/>
        <w:gridCol w:w="960"/>
      </w:tblGrid>
      <w:tr w:rsidR="00141BED" w:rsidRPr="00911CCD" w:rsidTr="000D2E00">
        <w:trPr>
          <w:trHeight w:val="290"/>
        </w:trPr>
        <w:tc>
          <w:tcPr>
            <w:tcW w:w="1754" w:type="dxa"/>
            <w:vMerge w:val="restart"/>
            <w:shd w:val="clear" w:color="auto" w:fill="auto"/>
            <w:noWrap/>
            <w:vAlign w:val="center"/>
            <w:hideMark/>
          </w:tcPr>
          <w:p w:rsidR="00A820F1" w:rsidRPr="00141BED" w:rsidRDefault="00EC4242" w:rsidP="006012AB">
            <w:pPr>
              <w:spacing w:after="0" w:line="240" w:lineRule="auto"/>
              <w:jc w:val="center"/>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Name</w:t>
            </w:r>
          </w:p>
        </w:tc>
        <w:tc>
          <w:tcPr>
            <w:tcW w:w="3841" w:type="dxa"/>
            <w:gridSpan w:val="4"/>
            <w:shd w:val="clear" w:color="auto" w:fill="auto"/>
            <w:noWrap/>
            <w:vAlign w:val="bottom"/>
            <w:hideMark/>
          </w:tcPr>
          <w:p w:rsidR="00A820F1" w:rsidRPr="00141BED" w:rsidRDefault="00DB6746" w:rsidP="006012AB">
            <w:pPr>
              <w:spacing w:after="0" w:line="240" w:lineRule="auto"/>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 xml:space="preserve">Number of years with maximum growth indices </w:t>
            </w:r>
            <w:r w:rsidR="00A820F1" w:rsidRPr="00141BED">
              <w:rPr>
                <w:rFonts w:ascii="Times New Roman" w:eastAsia="Times New Roman" w:hAnsi="Times New Roman"/>
                <w:sz w:val="24"/>
                <w:szCs w:val="24"/>
                <w:lang w:val="en-US" w:eastAsia="ru-RU"/>
              </w:rPr>
              <w:t>(</w:t>
            </w:r>
            <w:r w:rsidR="00EC4242" w:rsidRPr="00141BED">
              <w:rPr>
                <w:rFonts w:ascii="Times New Roman" w:eastAsia="Times New Roman" w:hAnsi="Times New Roman"/>
                <w:sz w:val="24"/>
                <w:szCs w:val="24"/>
                <w:lang w:val="en-US" w:eastAsia="ru-RU"/>
              </w:rPr>
              <w:t>more than</w:t>
            </w:r>
            <w:r w:rsidR="00A820F1" w:rsidRPr="00141BED">
              <w:rPr>
                <w:rFonts w:ascii="Times New Roman" w:eastAsia="Times New Roman" w:hAnsi="Times New Roman"/>
                <w:sz w:val="24"/>
                <w:szCs w:val="24"/>
                <w:lang w:val="en-US" w:eastAsia="ru-RU"/>
              </w:rPr>
              <w:t xml:space="preserve"> 100%)</w:t>
            </w:r>
          </w:p>
        </w:tc>
        <w:tc>
          <w:tcPr>
            <w:tcW w:w="3840" w:type="dxa"/>
            <w:gridSpan w:val="4"/>
            <w:shd w:val="clear" w:color="auto" w:fill="auto"/>
            <w:noWrap/>
            <w:vAlign w:val="bottom"/>
            <w:hideMark/>
          </w:tcPr>
          <w:p w:rsidR="00A820F1" w:rsidRPr="00141BED" w:rsidRDefault="00DB6746" w:rsidP="006012AB">
            <w:pPr>
              <w:spacing w:after="0" w:line="240" w:lineRule="auto"/>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Number of years with minimum growth indices</w:t>
            </w:r>
            <w:r w:rsidR="00A820F1" w:rsidRPr="00141BED">
              <w:rPr>
                <w:rFonts w:ascii="Times New Roman" w:eastAsia="Times New Roman" w:hAnsi="Times New Roman"/>
                <w:sz w:val="24"/>
                <w:szCs w:val="24"/>
                <w:lang w:val="en-US" w:eastAsia="ru-RU"/>
              </w:rPr>
              <w:t xml:space="preserve"> (</w:t>
            </w:r>
            <w:r w:rsidRPr="00141BED">
              <w:rPr>
                <w:rFonts w:ascii="Times New Roman" w:eastAsia="Times New Roman" w:hAnsi="Times New Roman"/>
                <w:sz w:val="24"/>
                <w:szCs w:val="24"/>
                <w:lang w:val="en-US" w:eastAsia="ru-RU"/>
              </w:rPr>
              <w:t>less than</w:t>
            </w:r>
            <w:r w:rsidR="00A820F1" w:rsidRPr="00141BED">
              <w:rPr>
                <w:rFonts w:ascii="Times New Roman" w:eastAsia="Times New Roman" w:hAnsi="Times New Roman"/>
                <w:sz w:val="24"/>
                <w:szCs w:val="24"/>
                <w:lang w:val="en-US" w:eastAsia="ru-RU"/>
              </w:rPr>
              <w:t xml:space="preserve"> 100%)</w:t>
            </w:r>
          </w:p>
        </w:tc>
      </w:tr>
      <w:tr w:rsidR="00141BED" w:rsidRPr="00141BED" w:rsidTr="000D2E00">
        <w:trPr>
          <w:trHeight w:val="290"/>
        </w:trPr>
        <w:tc>
          <w:tcPr>
            <w:tcW w:w="1754" w:type="dxa"/>
            <w:vMerge/>
            <w:shd w:val="clear" w:color="auto" w:fill="auto"/>
            <w:noWrap/>
            <w:vAlign w:val="bottom"/>
            <w:hideMark/>
          </w:tcPr>
          <w:p w:rsidR="00A820F1" w:rsidRPr="00141BED" w:rsidRDefault="00A820F1" w:rsidP="006012AB">
            <w:pPr>
              <w:spacing w:after="0" w:line="240" w:lineRule="auto"/>
              <w:rPr>
                <w:rFonts w:ascii="Times New Roman" w:eastAsia="Times New Roman" w:hAnsi="Times New Roman"/>
                <w:sz w:val="24"/>
                <w:szCs w:val="24"/>
                <w:lang w:val="en-US" w:eastAsia="ru-RU"/>
              </w:rPr>
            </w:pPr>
          </w:p>
        </w:tc>
        <w:tc>
          <w:tcPr>
            <w:tcW w:w="817" w:type="dxa"/>
            <w:shd w:val="clear" w:color="auto" w:fill="auto"/>
            <w:noWrap/>
            <w:vAlign w:val="bottom"/>
            <w:hideMark/>
          </w:tcPr>
          <w:p w:rsidR="00A820F1" w:rsidRPr="00141BED" w:rsidRDefault="00A820F1" w:rsidP="006012AB">
            <w:pPr>
              <w:spacing w:after="0" w:line="240" w:lineRule="auto"/>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СК</w:t>
            </w:r>
          </w:p>
        </w:tc>
        <w:tc>
          <w:tcPr>
            <w:tcW w:w="1032" w:type="dxa"/>
            <w:shd w:val="clear" w:color="auto" w:fill="auto"/>
            <w:noWrap/>
            <w:vAlign w:val="bottom"/>
            <w:hideMark/>
          </w:tcPr>
          <w:p w:rsidR="00A820F1" w:rsidRPr="00141BED" w:rsidRDefault="00A820F1" w:rsidP="006012AB">
            <w:pPr>
              <w:spacing w:after="0" w:line="240" w:lineRule="auto"/>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СЕ</w:t>
            </w:r>
          </w:p>
        </w:tc>
        <w:tc>
          <w:tcPr>
            <w:tcW w:w="1032" w:type="dxa"/>
            <w:shd w:val="clear" w:color="auto" w:fill="auto"/>
            <w:noWrap/>
            <w:vAlign w:val="bottom"/>
            <w:hideMark/>
          </w:tcPr>
          <w:p w:rsidR="00A820F1" w:rsidRPr="00141BED" w:rsidRDefault="00A46E8C" w:rsidP="006012AB">
            <w:pPr>
              <w:spacing w:after="0" w:line="240" w:lineRule="auto"/>
              <w:rPr>
                <w:rFonts w:ascii="Times New Roman" w:eastAsia="Times New Roman" w:hAnsi="Times New Roman"/>
                <w:sz w:val="24"/>
                <w:szCs w:val="24"/>
                <w:lang w:eastAsia="ru-RU"/>
              </w:rPr>
            </w:pPr>
            <w:r w:rsidRPr="00141BED">
              <w:rPr>
                <w:rFonts w:ascii="Times New Roman" w:eastAsia="Times New Roman" w:hAnsi="Times New Roman"/>
                <w:sz w:val="24"/>
                <w:szCs w:val="24"/>
                <w:lang w:val="en-US" w:eastAsia="ru-RU"/>
              </w:rPr>
              <w:t>B</w:t>
            </w:r>
            <w:r w:rsidR="00A820F1" w:rsidRPr="00141BED">
              <w:rPr>
                <w:rFonts w:ascii="Times New Roman" w:eastAsia="Times New Roman" w:hAnsi="Times New Roman"/>
                <w:sz w:val="24"/>
                <w:szCs w:val="24"/>
                <w:lang w:eastAsia="ru-RU"/>
              </w:rPr>
              <w:t>Е</w:t>
            </w:r>
          </w:p>
        </w:tc>
        <w:tc>
          <w:tcPr>
            <w:tcW w:w="960" w:type="dxa"/>
            <w:shd w:val="clear" w:color="auto" w:fill="auto"/>
            <w:noWrap/>
            <w:vAlign w:val="bottom"/>
            <w:hideMark/>
          </w:tcPr>
          <w:p w:rsidR="00A820F1" w:rsidRPr="00141BED" w:rsidRDefault="00A46E8C" w:rsidP="006012AB">
            <w:pPr>
              <w:spacing w:after="0" w:line="240" w:lineRule="auto"/>
              <w:rPr>
                <w:rFonts w:ascii="Times New Roman" w:eastAsia="Times New Roman" w:hAnsi="Times New Roman"/>
                <w:sz w:val="24"/>
                <w:szCs w:val="24"/>
                <w:lang w:eastAsia="ru-RU"/>
              </w:rPr>
            </w:pPr>
            <w:r w:rsidRPr="00141BED">
              <w:rPr>
                <w:rFonts w:ascii="Times New Roman" w:eastAsia="Times New Roman" w:hAnsi="Times New Roman"/>
                <w:sz w:val="24"/>
                <w:szCs w:val="24"/>
                <w:lang w:val="en-US" w:eastAsia="ru-RU"/>
              </w:rPr>
              <w:t>B</w:t>
            </w:r>
            <w:r w:rsidR="00A820F1" w:rsidRPr="00141BED">
              <w:rPr>
                <w:rFonts w:ascii="Times New Roman" w:eastAsia="Times New Roman" w:hAnsi="Times New Roman"/>
                <w:sz w:val="24"/>
                <w:szCs w:val="24"/>
                <w:lang w:eastAsia="ru-RU"/>
              </w:rPr>
              <w:t>К</w:t>
            </w:r>
          </w:p>
        </w:tc>
        <w:tc>
          <w:tcPr>
            <w:tcW w:w="960" w:type="dxa"/>
            <w:shd w:val="clear" w:color="auto" w:fill="auto"/>
            <w:noWrap/>
            <w:vAlign w:val="bottom"/>
            <w:hideMark/>
          </w:tcPr>
          <w:p w:rsidR="00A820F1" w:rsidRPr="00141BED" w:rsidRDefault="00A820F1" w:rsidP="006012AB">
            <w:pPr>
              <w:spacing w:after="0" w:line="240" w:lineRule="auto"/>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СК</w:t>
            </w:r>
          </w:p>
        </w:tc>
        <w:tc>
          <w:tcPr>
            <w:tcW w:w="960" w:type="dxa"/>
            <w:shd w:val="clear" w:color="auto" w:fill="auto"/>
            <w:noWrap/>
            <w:vAlign w:val="bottom"/>
            <w:hideMark/>
          </w:tcPr>
          <w:p w:rsidR="00A820F1" w:rsidRPr="00141BED" w:rsidRDefault="00A820F1" w:rsidP="006012AB">
            <w:pPr>
              <w:spacing w:after="0" w:line="240" w:lineRule="auto"/>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СЕ</w:t>
            </w:r>
          </w:p>
        </w:tc>
        <w:tc>
          <w:tcPr>
            <w:tcW w:w="960" w:type="dxa"/>
            <w:shd w:val="clear" w:color="auto" w:fill="auto"/>
            <w:noWrap/>
            <w:vAlign w:val="bottom"/>
            <w:hideMark/>
          </w:tcPr>
          <w:p w:rsidR="00A820F1" w:rsidRPr="00141BED" w:rsidRDefault="00A46E8C" w:rsidP="006012AB">
            <w:pPr>
              <w:spacing w:after="0" w:line="240" w:lineRule="auto"/>
              <w:rPr>
                <w:rFonts w:ascii="Times New Roman" w:eastAsia="Times New Roman" w:hAnsi="Times New Roman"/>
                <w:sz w:val="24"/>
                <w:szCs w:val="24"/>
                <w:lang w:eastAsia="ru-RU"/>
              </w:rPr>
            </w:pPr>
            <w:r w:rsidRPr="00141BED">
              <w:rPr>
                <w:rFonts w:ascii="Times New Roman" w:eastAsia="Times New Roman" w:hAnsi="Times New Roman"/>
                <w:sz w:val="24"/>
                <w:szCs w:val="24"/>
                <w:lang w:val="en-US" w:eastAsia="ru-RU"/>
              </w:rPr>
              <w:t>B</w:t>
            </w:r>
            <w:r w:rsidR="00A820F1" w:rsidRPr="00141BED">
              <w:rPr>
                <w:rFonts w:ascii="Times New Roman" w:eastAsia="Times New Roman" w:hAnsi="Times New Roman"/>
                <w:sz w:val="24"/>
                <w:szCs w:val="24"/>
                <w:lang w:eastAsia="ru-RU"/>
              </w:rPr>
              <w:t>Е</w:t>
            </w:r>
          </w:p>
        </w:tc>
        <w:tc>
          <w:tcPr>
            <w:tcW w:w="960" w:type="dxa"/>
            <w:shd w:val="clear" w:color="auto" w:fill="auto"/>
            <w:noWrap/>
            <w:vAlign w:val="bottom"/>
            <w:hideMark/>
          </w:tcPr>
          <w:p w:rsidR="00A820F1" w:rsidRPr="00141BED" w:rsidRDefault="00A46E8C" w:rsidP="006012AB">
            <w:pPr>
              <w:spacing w:after="0" w:line="240" w:lineRule="auto"/>
              <w:rPr>
                <w:rFonts w:ascii="Times New Roman" w:eastAsia="Times New Roman" w:hAnsi="Times New Roman"/>
                <w:sz w:val="24"/>
                <w:szCs w:val="24"/>
                <w:lang w:eastAsia="ru-RU"/>
              </w:rPr>
            </w:pPr>
            <w:r w:rsidRPr="00141BED">
              <w:rPr>
                <w:rFonts w:ascii="Times New Roman" w:eastAsia="Times New Roman" w:hAnsi="Times New Roman"/>
                <w:sz w:val="24"/>
                <w:szCs w:val="24"/>
                <w:lang w:val="en-US" w:eastAsia="ru-RU"/>
              </w:rPr>
              <w:t>B</w:t>
            </w:r>
            <w:r w:rsidR="00A820F1" w:rsidRPr="00141BED">
              <w:rPr>
                <w:rFonts w:ascii="Times New Roman" w:eastAsia="Times New Roman" w:hAnsi="Times New Roman"/>
                <w:sz w:val="24"/>
                <w:szCs w:val="24"/>
                <w:lang w:eastAsia="ru-RU"/>
              </w:rPr>
              <w:t>К</w:t>
            </w:r>
          </w:p>
        </w:tc>
      </w:tr>
      <w:tr w:rsidR="00141BED" w:rsidRPr="00141BED" w:rsidTr="000D2E00">
        <w:trPr>
          <w:trHeight w:val="290"/>
        </w:trPr>
        <w:tc>
          <w:tcPr>
            <w:tcW w:w="1754" w:type="dxa"/>
            <w:shd w:val="clear" w:color="auto" w:fill="auto"/>
            <w:noWrap/>
            <w:vAlign w:val="bottom"/>
          </w:tcPr>
          <w:p w:rsidR="009B0C26" w:rsidRPr="00141BED" w:rsidRDefault="00E20AA7" w:rsidP="006012A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growth</w:t>
            </w:r>
          </w:p>
        </w:tc>
        <w:tc>
          <w:tcPr>
            <w:tcW w:w="817"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5</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14,29</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28,57</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12,50</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30</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33,33</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19,23</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27,59</w:t>
            </w:r>
          </w:p>
        </w:tc>
      </w:tr>
      <w:tr w:rsidR="00141BED" w:rsidRPr="00141BED" w:rsidTr="000D2E00">
        <w:trPr>
          <w:trHeight w:val="290"/>
        </w:trPr>
        <w:tc>
          <w:tcPr>
            <w:tcW w:w="1754" w:type="dxa"/>
            <w:shd w:val="clear" w:color="auto" w:fill="auto"/>
            <w:noWrap/>
            <w:vAlign w:val="bottom"/>
          </w:tcPr>
          <w:p w:rsidR="009B0C26" w:rsidRPr="00141BED" w:rsidRDefault="00E20AA7" w:rsidP="006012AB">
            <w:pPr>
              <w:spacing w:after="0" w:line="240" w:lineRule="auto"/>
              <w:rPr>
                <w:rFonts w:ascii="Times New Roman" w:eastAsia="Times New Roman" w:hAnsi="Times New Roman"/>
                <w:sz w:val="24"/>
                <w:szCs w:val="24"/>
                <w:lang w:val="en-US" w:eastAsia="ru-RU"/>
              </w:rPr>
            </w:pPr>
            <w:r w:rsidRPr="00E20AA7">
              <w:rPr>
                <w:rFonts w:ascii="Times New Roman" w:eastAsia="Times New Roman" w:hAnsi="Times New Roman"/>
                <w:sz w:val="24"/>
                <w:szCs w:val="24"/>
                <w:lang w:val="en-US" w:eastAsia="ru-RU"/>
              </w:rPr>
              <w:t>recession</w:t>
            </w:r>
          </w:p>
        </w:tc>
        <w:tc>
          <w:tcPr>
            <w:tcW w:w="817"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55</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57,14</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35,71</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45,83</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30</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35,90</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42,31</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37,93</w:t>
            </w:r>
          </w:p>
        </w:tc>
      </w:tr>
      <w:tr w:rsidR="00141BED" w:rsidRPr="00141BED" w:rsidTr="000D2E00">
        <w:trPr>
          <w:trHeight w:val="290"/>
        </w:trPr>
        <w:tc>
          <w:tcPr>
            <w:tcW w:w="1754" w:type="dxa"/>
            <w:shd w:val="clear" w:color="auto" w:fill="auto"/>
            <w:noWrap/>
            <w:vAlign w:val="bottom"/>
          </w:tcPr>
          <w:p w:rsidR="009B0C26" w:rsidRPr="00141BED" w:rsidRDefault="00E20AA7" w:rsidP="006012AB">
            <w:pPr>
              <w:spacing w:after="0" w:line="240" w:lineRule="auto"/>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maximum</w:t>
            </w:r>
          </w:p>
        </w:tc>
        <w:tc>
          <w:tcPr>
            <w:tcW w:w="817"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30</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20,00</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21,43</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29,17</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30</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21,79</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32,69</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27,59</w:t>
            </w:r>
          </w:p>
        </w:tc>
      </w:tr>
      <w:tr w:rsidR="00141BED" w:rsidRPr="00141BED" w:rsidTr="000D2E00">
        <w:trPr>
          <w:trHeight w:val="290"/>
        </w:trPr>
        <w:tc>
          <w:tcPr>
            <w:tcW w:w="1754" w:type="dxa"/>
            <w:shd w:val="clear" w:color="auto" w:fill="auto"/>
            <w:noWrap/>
            <w:vAlign w:val="bottom"/>
          </w:tcPr>
          <w:p w:rsidR="009B0C26" w:rsidRPr="00141BED" w:rsidRDefault="00E20AA7" w:rsidP="006012AB">
            <w:pPr>
              <w:spacing w:after="0" w:line="240" w:lineRule="auto"/>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minimum</w:t>
            </w:r>
          </w:p>
        </w:tc>
        <w:tc>
          <w:tcPr>
            <w:tcW w:w="817"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8,57</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14,29</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12,50</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10</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8,97</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5,77</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6,90</w:t>
            </w:r>
          </w:p>
        </w:tc>
      </w:tr>
      <w:tr w:rsidR="00141BED" w:rsidRPr="00911CCD" w:rsidTr="000D2E00">
        <w:trPr>
          <w:trHeight w:val="290"/>
        </w:trPr>
        <w:tc>
          <w:tcPr>
            <w:tcW w:w="1754" w:type="dxa"/>
            <w:shd w:val="clear" w:color="auto" w:fill="auto"/>
            <w:noWrap/>
            <w:vAlign w:val="bottom"/>
            <w:hideMark/>
          </w:tcPr>
          <w:p w:rsidR="009B0C26" w:rsidRPr="00141BED" w:rsidRDefault="009B0C26" w:rsidP="006012AB">
            <w:pPr>
              <w:spacing w:after="0" w:line="240" w:lineRule="auto"/>
              <w:rPr>
                <w:rFonts w:ascii="Times New Roman" w:eastAsia="Times New Roman" w:hAnsi="Times New Roman"/>
                <w:sz w:val="24"/>
                <w:szCs w:val="24"/>
                <w:lang w:eastAsia="ru-RU"/>
              </w:rPr>
            </w:pPr>
          </w:p>
        </w:tc>
        <w:tc>
          <w:tcPr>
            <w:tcW w:w="3841" w:type="dxa"/>
            <w:gridSpan w:val="4"/>
            <w:shd w:val="clear" w:color="auto" w:fill="auto"/>
            <w:noWrap/>
            <w:vAlign w:val="bottom"/>
            <w:hideMark/>
          </w:tcPr>
          <w:p w:rsidR="009B0C26" w:rsidRPr="00141BED" w:rsidRDefault="009B0C26" w:rsidP="006012AB">
            <w:pPr>
              <w:spacing w:after="0" w:line="240" w:lineRule="auto"/>
              <w:jc w:val="center"/>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Number of years with maximum growth indices (more than 110%)</w:t>
            </w:r>
          </w:p>
        </w:tc>
        <w:tc>
          <w:tcPr>
            <w:tcW w:w="3840" w:type="dxa"/>
            <w:gridSpan w:val="4"/>
            <w:shd w:val="clear" w:color="auto" w:fill="auto"/>
            <w:noWrap/>
            <w:vAlign w:val="bottom"/>
            <w:hideMark/>
          </w:tcPr>
          <w:p w:rsidR="009B0C26" w:rsidRPr="00141BED" w:rsidRDefault="009B0C26" w:rsidP="006012AB">
            <w:pPr>
              <w:spacing w:after="0" w:line="240" w:lineRule="auto"/>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Number of years with maximum growth indices (less than 90%)</w:t>
            </w:r>
          </w:p>
        </w:tc>
      </w:tr>
      <w:tr w:rsidR="00141BED" w:rsidRPr="00141BED" w:rsidTr="00165AA4">
        <w:trPr>
          <w:trHeight w:val="290"/>
        </w:trPr>
        <w:tc>
          <w:tcPr>
            <w:tcW w:w="1754" w:type="dxa"/>
            <w:shd w:val="clear" w:color="auto" w:fill="auto"/>
            <w:noWrap/>
            <w:vAlign w:val="bottom"/>
          </w:tcPr>
          <w:p w:rsidR="009B0C26" w:rsidRPr="00E20AA7" w:rsidRDefault="00E20AA7" w:rsidP="006012A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growth</w:t>
            </w:r>
          </w:p>
        </w:tc>
        <w:tc>
          <w:tcPr>
            <w:tcW w:w="817"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16,67</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23,08</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18,18</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29,41</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30,91</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25,81</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35,00</w:t>
            </w:r>
          </w:p>
        </w:tc>
      </w:tr>
      <w:tr w:rsidR="00141BED" w:rsidRPr="00141BED" w:rsidTr="00165AA4">
        <w:trPr>
          <w:trHeight w:val="290"/>
        </w:trPr>
        <w:tc>
          <w:tcPr>
            <w:tcW w:w="1754" w:type="dxa"/>
            <w:shd w:val="clear" w:color="auto" w:fill="auto"/>
            <w:noWrap/>
            <w:vAlign w:val="bottom"/>
          </w:tcPr>
          <w:p w:rsidR="009B0C26" w:rsidRPr="00141BED" w:rsidRDefault="00E20AA7" w:rsidP="006012AB">
            <w:pPr>
              <w:spacing w:after="0" w:line="240" w:lineRule="auto"/>
              <w:rPr>
                <w:rFonts w:ascii="Times New Roman" w:eastAsia="Times New Roman" w:hAnsi="Times New Roman"/>
                <w:sz w:val="24"/>
                <w:szCs w:val="24"/>
                <w:lang w:val="en-US" w:eastAsia="ru-RU"/>
              </w:rPr>
            </w:pPr>
            <w:r w:rsidRPr="00E20AA7">
              <w:rPr>
                <w:rFonts w:ascii="Times New Roman" w:eastAsia="Times New Roman" w:hAnsi="Times New Roman"/>
                <w:sz w:val="24"/>
                <w:szCs w:val="24"/>
                <w:lang w:val="en-US" w:eastAsia="ru-RU"/>
              </w:rPr>
              <w:t>recession</w:t>
            </w:r>
          </w:p>
        </w:tc>
        <w:tc>
          <w:tcPr>
            <w:tcW w:w="817"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62,5</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57,41</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30,77</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63,64</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23,53</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34,55</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35,48</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30,00</w:t>
            </w:r>
          </w:p>
        </w:tc>
      </w:tr>
      <w:tr w:rsidR="00141BED" w:rsidRPr="00141BED" w:rsidTr="00165AA4">
        <w:trPr>
          <w:trHeight w:val="290"/>
        </w:trPr>
        <w:tc>
          <w:tcPr>
            <w:tcW w:w="1754" w:type="dxa"/>
            <w:shd w:val="clear" w:color="auto" w:fill="auto"/>
            <w:noWrap/>
            <w:vAlign w:val="bottom"/>
          </w:tcPr>
          <w:p w:rsidR="009B0C26" w:rsidRPr="00141BED" w:rsidRDefault="00E20AA7" w:rsidP="006012AB">
            <w:pPr>
              <w:spacing w:after="0" w:line="240" w:lineRule="auto"/>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maximum</w:t>
            </w:r>
          </w:p>
        </w:tc>
        <w:tc>
          <w:tcPr>
            <w:tcW w:w="817"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25</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18,52</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26,92</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18,18</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35,29</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21,82</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32,26</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bCs/>
                <w:sz w:val="24"/>
                <w:szCs w:val="24"/>
                <w:lang w:eastAsia="ru-RU"/>
              </w:rPr>
            </w:pPr>
            <w:r w:rsidRPr="00141BED">
              <w:rPr>
                <w:rFonts w:ascii="Times New Roman" w:eastAsia="Times New Roman" w:hAnsi="Times New Roman"/>
                <w:bCs/>
                <w:sz w:val="24"/>
                <w:szCs w:val="24"/>
                <w:lang w:eastAsia="ru-RU"/>
              </w:rPr>
              <w:t>35,00</w:t>
            </w:r>
          </w:p>
        </w:tc>
      </w:tr>
      <w:tr w:rsidR="00141BED" w:rsidRPr="00141BED" w:rsidTr="00165AA4">
        <w:trPr>
          <w:trHeight w:val="290"/>
        </w:trPr>
        <w:tc>
          <w:tcPr>
            <w:tcW w:w="1754" w:type="dxa"/>
            <w:shd w:val="clear" w:color="auto" w:fill="auto"/>
            <w:noWrap/>
            <w:vAlign w:val="bottom"/>
          </w:tcPr>
          <w:p w:rsidR="009B0C26" w:rsidRPr="00141BED" w:rsidRDefault="00E20AA7" w:rsidP="006012AB">
            <w:pPr>
              <w:spacing w:after="0" w:line="240" w:lineRule="auto"/>
              <w:rPr>
                <w:rFonts w:ascii="Times New Roman" w:eastAsia="Times New Roman" w:hAnsi="Times New Roman"/>
                <w:sz w:val="24"/>
                <w:szCs w:val="24"/>
                <w:lang w:val="en-US" w:eastAsia="ru-RU"/>
              </w:rPr>
            </w:pPr>
            <w:r w:rsidRPr="00141BED">
              <w:rPr>
                <w:rFonts w:ascii="Times New Roman" w:eastAsia="Times New Roman" w:hAnsi="Times New Roman"/>
                <w:sz w:val="24"/>
                <w:szCs w:val="24"/>
                <w:lang w:val="en-US" w:eastAsia="ru-RU"/>
              </w:rPr>
              <w:t>minimum</w:t>
            </w:r>
          </w:p>
        </w:tc>
        <w:tc>
          <w:tcPr>
            <w:tcW w:w="817"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12,5</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7,41</w:t>
            </w:r>
          </w:p>
        </w:tc>
        <w:tc>
          <w:tcPr>
            <w:tcW w:w="1032"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19,23</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0,00</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11,76</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12,73</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6,45</w:t>
            </w:r>
          </w:p>
        </w:tc>
        <w:tc>
          <w:tcPr>
            <w:tcW w:w="960" w:type="dxa"/>
            <w:shd w:val="clear" w:color="auto" w:fill="auto"/>
            <w:noWrap/>
            <w:vAlign w:val="bottom"/>
          </w:tcPr>
          <w:p w:rsidR="009B0C26" w:rsidRPr="00141BED" w:rsidRDefault="009B0C26" w:rsidP="006012AB">
            <w:pPr>
              <w:spacing w:after="0" w:line="240" w:lineRule="auto"/>
              <w:jc w:val="right"/>
              <w:rPr>
                <w:rFonts w:ascii="Times New Roman" w:eastAsia="Times New Roman" w:hAnsi="Times New Roman"/>
                <w:sz w:val="24"/>
                <w:szCs w:val="24"/>
                <w:lang w:eastAsia="ru-RU"/>
              </w:rPr>
            </w:pPr>
            <w:r w:rsidRPr="00141BED">
              <w:rPr>
                <w:rFonts w:ascii="Times New Roman" w:eastAsia="Times New Roman" w:hAnsi="Times New Roman"/>
                <w:sz w:val="24"/>
                <w:szCs w:val="24"/>
                <w:lang w:eastAsia="ru-RU"/>
              </w:rPr>
              <w:t>0,00</w:t>
            </w:r>
          </w:p>
        </w:tc>
      </w:tr>
    </w:tbl>
    <w:p w:rsidR="00A820F1" w:rsidRPr="00141BED" w:rsidRDefault="00A46E8C"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Note: C</w:t>
      </w:r>
      <w:r w:rsidR="00DB6746" w:rsidRPr="00141BED">
        <w:rPr>
          <w:rFonts w:ascii="Times New Roman" w:hAnsi="Times New Roman"/>
          <w:sz w:val="24"/>
          <w:szCs w:val="24"/>
          <w:lang w:val="en-US"/>
        </w:rPr>
        <w:t>K – for</w:t>
      </w:r>
      <w:r w:rsidRPr="00141BED">
        <w:rPr>
          <w:rFonts w:ascii="Times New Roman" w:hAnsi="Times New Roman"/>
          <w:sz w:val="24"/>
          <w:szCs w:val="24"/>
          <w:lang w:val="en-US"/>
        </w:rPr>
        <w:t>est crops "Semey ormany" SFNR, C</w:t>
      </w:r>
      <w:r w:rsidR="00DB6746" w:rsidRPr="00141BED">
        <w:rPr>
          <w:rFonts w:ascii="Times New Roman" w:hAnsi="Times New Roman"/>
          <w:sz w:val="24"/>
          <w:szCs w:val="24"/>
          <w:lang w:val="en-US"/>
        </w:rPr>
        <w:t>E – natural plantings "Semey ormany" SFNR, BE - natural plantings "Burabay" SNNP, BK – forest crops "Burabay" SNNP.</w:t>
      </w:r>
    </w:p>
    <w:p w:rsidR="00DB6746" w:rsidRPr="00AB5692" w:rsidRDefault="00DB6746" w:rsidP="00141BED">
      <w:pPr>
        <w:spacing w:after="0" w:line="360" w:lineRule="auto"/>
        <w:ind w:firstLine="567"/>
        <w:jc w:val="both"/>
        <w:rPr>
          <w:rFonts w:ascii="Times New Roman" w:hAnsi="Times New Roman"/>
          <w:sz w:val="24"/>
          <w:szCs w:val="24"/>
          <w:lang w:val="en-US"/>
        </w:rPr>
      </w:pPr>
    </w:p>
    <w:p w:rsidR="00F813EF" w:rsidRPr="00141BED" w:rsidRDefault="00F813EF" w:rsidP="00F813EF">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With a more strict selection of small and large growth indices, it was found that the maximum values of growth are allocated in years on the branches of decline (30.77-63.64%) for all the studied plantings. According to small growth indices in natural plantings, years are allocated for the branches of decline, in forest crops – at the maximum SA.</w:t>
      </w:r>
    </w:p>
    <w:p w:rsidR="00A820F1" w:rsidRPr="00141BED" w:rsidRDefault="00DB674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Table 7 shows the equations derived from studying the growth of Scots pine in different periods of solar activity. It was found that the confidence coefficient R2 is quite high in the forest cultures of two regions and varies from 0.8498 to 0.9926, and in the epoch of the minimum SA in the forest cultures of the "Semey ormany" SFNR, it reached the maximum value - R2=1.0. In the natural plantings of the two regions, this coefficient fluctuated at an average level – 0.4687-0.6397, only in the "Semey ormany" SFNR during the epoch of maximum solar activity, the confidence coefficient value was 0.927.</w:t>
      </w:r>
    </w:p>
    <w:p w:rsidR="00F813EF" w:rsidRPr="00141BED" w:rsidRDefault="00F813EF" w:rsidP="00F813EF">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For an example of using similar formulas, we present a model for predicting the further development of plantings. In MPI "Malo-Tyuctinski FE" conducted observations in the plantations after the passage of a forest fire and without.</w:t>
      </w:r>
    </w:p>
    <w:p w:rsidR="00F813EF" w:rsidRPr="00AB5692" w:rsidRDefault="00F813EF" w:rsidP="00F813EF">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In the area covered by a forest fire, the forecast for further growth is described by the equation:</w:t>
      </w:r>
    </w:p>
    <w:p w:rsidR="00F813EF" w:rsidRPr="00AB5692" w:rsidRDefault="00F813EF" w:rsidP="00F813EF">
      <w:pPr>
        <w:spacing w:after="0" w:line="360" w:lineRule="auto"/>
        <w:ind w:firstLine="567"/>
        <w:jc w:val="both"/>
        <w:rPr>
          <w:rFonts w:ascii="Times New Roman" w:hAnsi="Times New Roman"/>
          <w:sz w:val="24"/>
          <w:szCs w:val="24"/>
          <w:lang w:val="en-US"/>
        </w:rPr>
      </w:pPr>
    </w:p>
    <w:p w:rsidR="00F813EF" w:rsidRPr="00AB5692" w:rsidRDefault="009E2CEA" w:rsidP="00F813EF">
      <w:pPr>
        <w:spacing w:after="0" w:line="360" w:lineRule="auto"/>
        <w:ind w:firstLine="567"/>
        <w:jc w:val="center"/>
        <w:rPr>
          <w:rFonts w:ascii="Times New Roman" w:hAnsi="Times New Roman"/>
          <w:sz w:val="24"/>
          <w:szCs w:val="24"/>
          <w:lang w:val="en-US"/>
        </w:rPr>
      </w:pPr>
      <w:r>
        <w:rPr>
          <w:rFonts w:ascii="Times New Roman" w:hAnsi="Times New Roman"/>
          <w:sz w:val="24"/>
          <w:szCs w:val="24"/>
          <w:lang w:val="en-US"/>
        </w:rPr>
        <w:t xml:space="preserve">                                       </w:t>
      </w:r>
      <w:r w:rsidR="00F813EF" w:rsidRPr="00141BED">
        <w:rPr>
          <w:rFonts w:ascii="Times New Roman" w:hAnsi="Times New Roman"/>
          <w:sz w:val="24"/>
          <w:szCs w:val="24"/>
          <w:lang w:val="en-US"/>
        </w:rPr>
        <w:t>y=-0.0051 x+10.911, R2 = 0.291</w:t>
      </w:r>
      <w:r w:rsidR="00F813EF" w:rsidRPr="00AB5692">
        <w:rPr>
          <w:rFonts w:ascii="Times New Roman" w:hAnsi="Times New Roman"/>
          <w:sz w:val="24"/>
          <w:szCs w:val="24"/>
          <w:lang w:val="en-US"/>
        </w:rPr>
        <w:t xml:space="preserve">                                       (4)</w:t>
      </w:r>
    </w:p>
    <w:p w:rsidR="00DB6746" w:rsidRPr="00141BED" w:rsidRDefault="00DB6746" w:rsidP="00141BED">
      <w:pPr>
        <w:spacing w:after="0" w:line="360" w:lineRule="auto"/>
        <w:ind w:firstLine="567"/>
        <w:jc w:val="both"/>
        <w:rPr>
          <w:rFonts w:ascii="Times New Roman" w:hAnsi="Times New Roman"/>
          <w:sz w:val="24"/>
          <w:szCs w:val="24"/>
          <w:lang w:val="en-US"/>
        </w:rPr>
      </w:pPr>
    </w:p>
    <w:p w:rsidR="00F31ABB" w:rsidRPr="00141BED" w:rsidRDefault="00F31ABB" w:rsidP="00141BED">
      <w:pPr>
        <w:spacing w:after="0" w:line="360" w:lineRule="auto"/>
        <w:ind w:firstLine="567"/>
        <w:jc w:val="both"/>
        <w:rPr>
          <w:rFonts w:ascii="Times New Roman" w:hAnsi="Times New Roman"/>
          <w:sz w:val="24"/>
          <w:szCs w:val="24"/>
          <w:lang w:val="en-US"/>
        </w:rPr>
      </w:pPr>
    </w:p>
    <w:p w:rsidR="00DB6746" w:rsidRPr="00141BED" w:rsidRDefault="00DB6746" w:rsidP="00141BED">
      <w:pPr>
        <w:spacing w:after="0" w:line="360" w:lineRule="auto"/>
        <w:ind w:firstLine="567"/>
        <w:jc w:val="both"/>
        <w:rPr>
          <w:rFonts w:ascii="Times New Roman" w:hAnsi="Times New Roman"/>
          <w:sz w:val="24"/>
          <w:szCs w:val="24"/>
          <w:lang w:val="en-US"/>
        </w:rPr>
      </w:pPr>
    </w:p>
    <w:p w:rsidR="00A820F1" w:rsidRPr="00141BED" w:rsidRDefault="00F31ABB"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Table 7 – forecast models using approximation and its reliability of radial growth of Scots pine in different periods of solar activity</w:t>
      </w:r>
    </w:p>
    <w:tbl>
      <w:tblPr>
        <w:tblW w:w="98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2072"/>
        <w:gridCol w:w="2072"/>
        <w:gridCol w:w="1792"/>
        <w:gridCol w:w="1792"/>
      </w:tblGrid>
      <w:tr w:rsidR="00141BED" w:rsidRPr="00141BED" w:rsidTr="000D2E00">
        <w:trPr>
          <w:trHeight w:val="152"/>
        </w:trPr>
        <w:tc>
          <w:tcPr>
            <w:tcW w:w="2186" w:type="dxa"/>
            <w:vMerge w:val="restart"/>
          </w:tcPr>
          <w:p w:rsidR="00A820F1" w:rsidRPr="00141BED" w:rsidRDefault="00A57EF6" w:rsidP="00F813EF">
            <w:pPr>
              <w:spacing w:after="0" w:line="240" w:lineRule="auto"/>
              <w:rPr>
                <w:rFonts w:ascii="Times New Roman" w:hAnsi="Times New Roman"/>
                <w:sz w:val="24"/>
                <w:szCs w:val="24"/>
                <w:lang w:val="en-US"/>
              </w:rPr>
            </w:pPr>
            <w:r w:rsidRPr="00141BED">
              <w:rPr>
                <w:rFonts w:ascii="Times New Roman" w:hAnsi="Times New Roman"/>
                <w:sz w:val="24"/>
                <w:szCs w:val="24"/>
                <w:lang w:val="en-US"/>
              </w:rPr>
              <w:t>Origin and location of the plantings</w:t>
            </w:r>
          </w:p>
        </w:tc>
        <w:tc>
          <w:tcPr>
            <w:tcW w:w="7646" w:type="dxa"/>
            <w:gridSpan w:val="4"/>
          </w:tcPr>
          <w:p w:rsidR="00A820F1" w:rsidRPr="00141BED" w:rsidRDefault="00A57EF6" w:rsidP="00F813EF">
            <w:pPr>
              <w:spacing w:after="0" w:line="240" w:lineRule="auto"/>
              <w:jc w:val="center"/>
              <w:rPr>
                <w:rFonts w:ascii="Times New Roman" w:hAnsi="Times New Roman"/>
                <w:sz w:val="24"/>
                <w:szCs w:val="24"/>
              </w:rPr>
            </w:pPr>
            <w:r w:rsidRPr="00141BED">
              <w:rPr>
                <w:rFonts w:ascii="Times New Roman" w:hAnsi="Times New Roman"/>
                <w:sz w:val="24"/>
                <w:szCs w:val="24"/>
              </w:rPr>
              <w:t>Epochs of solar activity</w:t>
            </w:r>
          </w:p>
        </w:tc>
      </w:tr>
      <w:tr w:rsidR="00141BED" w:rsidRPr="00141BED" w:rsidTr="000D2E00">
        <w:trPr>
          <w:trHeight w:val="160"/>
        </w:trPr>
        <w:tc>
          <w:tcPr>
            <w:tcW w:w="2186" w:type="dxa"/>
            <w:vMerge/>
          </w:tcPr>
          <w:p w:rsidR="00A820F1" w:rsidRPr="00141BED" w:rsidRDefault="00A820F1" w:rsidP="00F813EF">
            <w:pPr>
              <w:spacing w:after="0" w:line="240" w:lineRule="auto"/>
              <w:rPr>
                <w:rFonts w:ascii="Times New Roman" w:hAnsi="Times New Roman"/>
                <w:sz w:val="24"/>
                <w:szCs w:val="24"/>
              </w:rPr>
            </w:pPr>
          </w:p>
        </w:tc>
        <w:tc>
          <w:tcPr>
            <w:tcW w:w="2050" w:type="dxa"/>
          </w:tcPr>
          <w:p w:rsidR="00A820F1" w:rsidRPr="00141BED" w:rsidRDefault="0051307A" w:rsidP="00F813EF">
            <w:pPr>
              <w:spacing w:after="0" w:line="240" w:lineRule="auto"/>
              <w:rPr>
                <w:rFonts w:ascii="Times New Roman" w:hAnsi="Times New Roman"/>
                <w:sz w:val="24"/>
                <w:szCs w:val="24"/>
                <w:lang w:val="en-US"/>
              </w:rPr>
            </w:pPr>
            <w:r w:rsidRPr="00141BED">
              <w:rPr>
                <w:rFonts w:ascii="Times New Roman" w:hAnsi="Times New Roman"/>
                <w:sz w:val="24"/>
                <w:szCs w:val="24"/>
                <w:lang w:val="en-US"/>
              </w:rPr>
              <w:t>maximum</w:t>
            </w:r>
          </w:p>
        </w:tc>
        <w:tc>
          <w:tcPr>
            <w:tcW w:w="2050" w:type="dxa"/>
          </w:tcPr>
          <w:p w:rsidR="00A820F1" w:rsidRPr="00141BED" w:rsidRDefault="0051307A" w:rsidP="00F813EF">
            <w:pPr>
              <w:spacing w:after="0" w:line="240" w:lineRule="auto"/>
              <w:rPr>
                <w:rFonts w:ascii="Times New Roman" w:hAnsi="Times New Roman"/>
                <w:sz w:val="24"/>
                <w:szCs w:val="24"/>
              </w:rPr>
            </w:pPr>
            <w:r w:rsidRPr="00141BED">
              <w:rPr>
                <w:rFonts w:ascii="Times New Roman" w:hAnsi="Times New Roman"/>
                <w:sz w:val="24"/>
                <w:szCs w:val="24"/>
              </w:rPr>
              <w:t>minimum</w:t>
            </w:r>
          </w:p>
        </w:tc>
        <w:tc>
          <w:tcPr>
            <w:tcW w:w="1773" w:type="dxa"/>
          </w:tcPr>
          <w:p w:rsidR="00A820F1" w:rsidRPr="00141BED" w:rsidRDefault="0051307A" w:rsidP="00F813EF">
            <w:pPr>
              <w:spacing w:after="0" w:line="240" w:lineRule="auto"/>
              <w:rPr>
                <w:rFonts w:ascii="Times New Roman" w:hAnsi="Times New Roman"/>
                <w:sz w:val="24"/>
                <w:szCs w:val="24"/>
              </w:rPr>
            </w:pPr>
            <w:r w:rsidRPr="00141BED">
              <w:rPr>
                <w:rFonts w:ascii="Times New Roman" w:hAnsi="Times New Roman"/>
                <w:sz w:val="24"/>
                <w:szCs w:val="24"/>
              </w:rPr>
              <w:t>branch growth</w:t>
            </w:r>
          </w:p>
        </w:tc>
        <w:tc>
          <w:tcPr>
            <w:tcW w:w="1773" w:type="dxa"/>
          </w:tcPr>
          <w:p w:rsidR="00A820F1" w:rsidRPr="00141BED" w:rsidRDefault="0051307A" w:rsidP="00F813EF">
            <w:pPr>
              <w:spacing w:after="0" w:line="240" w:lineRule="auto"/>
              <w:rPr>
                <w:rFonts w:ascii="Times New Roman" w:hAnsi="Times New Roman"/>
                <w:sz w:val="24"/>
                <w:szCs w:val="24"/>
              </w:rPr>
            </w:pPr>
            <w:r w:rsidRPr="00141BED">
              <w:rPr>
                <w:rFonts w:ascii="Times New Roman" w:hAnsi="Times New Roman"/>
                <w:sz w:val="24"/>
                <w:szCs w:val="24"/>
              </w:rPr>
              <w:t xml:space="preserve">branch </w:t>
            </w:r>
            <w:r w:rsidRPr="00141BED">
              <w:rPr>
                <w:rFonts w:ascii="Times New Roman" w:hAnsi="Times New Roman"/>
                <w:sz w:val="24"/>
                <w:szCs w:val="24"/>
                <w:lang w:val="en-US"/>
              </w:rPr>
              <w:t>of</w:t>
            </w:r>
            <w:r w:rsidRPr="00141BED">
              <w:rPr>
                <w:rFonts w:ascii="Times New Roman" w:hAnsi="Times New Roman"/>
                <w:sz w:val="24"/>
                <w:szCs w:val="24"/>
              </w:rPr>
              <w:t xml:space="preserve"> fall</w:t>
            </w:r>
          </w:p>
        </w:tc>
      </w:tr>
      <w:tr w:rsidR="00141BED" w:rsidRPr="00141BED" w:rsidTr="000D2E00">
        <w:trPr>
          <w:trHeight w:val="160"/>
        </w:trPr>
        <w:tc>
          <w:tcPr>
            <w:tcW w:w="2186" w:type="dxa"/>
          </w:tcPr>
          <w:p w:rsidR="005967D6" w:rsidRPr="00141BED" w:rsidRDefault="005967D6" w:rsidP="00F813EF">
            <w:pPr>
              <w:spacing w:after="0" w:line="240" w:lineRule="auto"/>
              <w:rPr>
                <w:rFonts w:ascii="Times New Roman" w:hAnsi="Times New Roman"/>
                <w:sz w:val="24"/>
                <w:szCs w:val="24"/>
                <w:lang w:val="en-US"/>
              </w:rPr>
            </w:pPr>
            <w:r w:rsidRPr="00141BED">
              <w:rPr>
                <w:rFonts w:ascii="Times New Roman" w:hAnsi="Times New Roman"/>
                <w:sz w:val="24"/>
                <w:szCs w:val="24"/>
                <w:lang w:val="en-US"/>
              </w:rPr>
              <w:t>Natural plantings of "Burabay» SNNP</w:t>
            </w:r>
          </w:p>
        </w:tc>
        <w:tc>
          <w:tcPr>
            <w:tcW w:w="2050"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у=0,0001х</w:t>
            </w:r>
            <w:r w:rsidRPr="00141BED">
              <w:rPr>
                <w:rFonts w:ascii="Times New Roman" w:hAnsi="Times New Roman"/>
                <w:sz w:val="24"/>
                <w:szCs w:val="24"/>
                <w:vertAlign w:val="superscript"/>
              </w:rPr>
              <w:t>2</w:t>
            </w:r>
            <w:r w:rsidRPr="00141BED">
              <w:rPr>
                <w:rFonts w:ascii="Times New Roman" w:hAnsi="Times New Roman"/>
                <w:sz w:val="24"/>
                <w:szCs w:val="24"/>
              </w:rPr>
              <w:t>-0,5153х+515,7</w:t>
            </w:r>
          </w:p>
          <w:p w:rsidR="005967D6" w:rsidRPr="00141BED" w:rsidRDefault="005967D6" w:rsidP="00F813EF">
            <w:pPr>
              <w:spacing w:after="0" w:line="240" w:lineRule="auto"/>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=0,5457</w:t>
            </w:r>
          </w:p>
        </w:tc>
        <w:tc>
          <w:tcPr>
            <w:tcW w:w="2050"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у=9Е-05х</w:t>
            </w:r>
            <w:r w:rsidRPr="00141BED">
              <w:rPr>
                <w:rFonts w:ascii="Times New Roman" w:hAnsi="Times New Roman"/>
                <w:sz w:val="24"/>
                <w:szCs w:val="24"/>
                <w:vertAlign w:val="superscript"/>
              </w:rPr>
              <w:t>2</w:t>
            </w:r>
            <w:r w:rsidRPr="00141BED">
              <w:rPr>
                <w:rFonts w:ascii="Times New Roman" w:hAnsi="Times New Roman"/>
                <w:sz w:val="24"/>
                <w:szCs w:val="24"/>
              </w:rPr>
              <w:t>-0,3759х+376,23</w:t>
            </w:r>
          </w:p>
          <w:p w:rsidR="005967D6" w:rsidRPr="00141BED" w:rsidRDefault="005967D6" w:rsidP="00F813EF">
            <w:pPr>
              <w:spacing w:after="0" w:line="240" w:lineRule="auto"/>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=0,4805</w:t>
            </w:r>
          </w:p>
        </w:tc>
        <w:tc>
          <w:tcPr>
            <w:tcW w:w="1773"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у=0,0004х</w:t>
            </w:r>
            <w:r w:rsidRPr="00141BED">
              <w:rPr>
                <w:rFonts w:ascii="Times New Roman" w:hAnsi="Times New Roman"/>
                <w:sz w:val="24"/>
                <w:szCs w:val="24"/>
                <w:vertAlign w:val="superscript"/>
              </w:rPr>
              <w:t>2</w:t>
            </w:r>
            <w:r w:rsidRPr="00141BED">
              <w:rPr>
                <w:rFonts w:ascii="Times New Roman" w:hAnsi="Times New Roman"/>
                <w:sz w:val="24"/>
                <w:szCs w:val="24"/>
              </w:rPr>
              <w:t>-14596х+1446,4</w:t>
            </w:r>
          </w:p>
          <w:p w:rsidR="005967D6" w:rsidRPr="00141BED" w:rsidRDefault="005967D6" w:rsidP="00F813EF">
            <w:pPr>
              <w:spacing w:after="0" w:line="240" w:lineRule="auto"/>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=0,6078</w:t>
            </w:r>
          </w:p>
        </w:tc>
        <w:tc>
          <w:tcPr>
            <w:tcW w:w="1773"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у=1Е-05х</w:t>
            </w:r>
            <w:r w:rsidRPr="00141BED">
              <w:rPr>
                <w:rFonts w:ascii="Times New Roman" w:hAnsi="Times New Roman"/>
                <w:sz w:val="24"/>
                <w:szCs w:val="24"/>
                <w:vertAlign w:val="superscript"/>
              </w:rPr>
              <w:t>2</w:t>
            </w:r>
            <w:r w:rsidRPr="00141BED">
              <w:rPr>
                <w:rFonts w:ascii="Times New Roman" w:hAnsi="Times New Roman"/>
                <w:sz w:val="24"/>
                <w:szCs w:val="24"/>
              </w:rPr>
              <w:t>-0,0571х+61,93</w:t>
            </w:r>
          </w:p>
          <w:p w:rsidR="005967D6" w:rsidRPr="00141BED" w:rsidRDefault="005967D6" w:rsidP="00F813EF">
            <w:pPr>
              <w:spacing w:after="0" w:line="240" w:lineRule="auto"/>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=0,4687</w:t>
            </w:r>
          </w:p>
        </w:tc>
      </w:tr>
      <w:tr w:rsidR="00141BED" w:rsidRPr="00141BED" w:rsidTr="000D2E00">
        <w:trPr>
          <w:trHeight w:val="160"/>
        </w:trPr>
        <w:tc>
          <w:tcPr>
            <w:tcW w:w="2186" w:type="dxa"/>
          </w:tcPr>
          <w:p w:rsidR="005967D6" w:rsidRPr="00141BED" w:rsidRDefault="005967D6" w:rsidP="00F813EF">
            <w:pPr>
              <w:spacing w:after="0" w:line="240" w:lineRule="auto"/>
              <w:rPr>
                <w:rFonts w:ascii="Times New Roman" w:hAnsi="Times New Roman"/>
                <w:sz w:val="24"/>
                <w:szCs w:val="24"/>
                <w:lang w:val="en-US"/>
              </w:rPr>
            </w:pPr>
            <w:r w:rsidRPr="00141BED">
              <w:rPr>
                <w:rFonts w:ascii="Times New Roman" w:hAnsi="Times New Roman"/>
                <w:sz w:val="24"/>
                <w:szCs w:val="24"/>
                <w:lang w:val="en-US"/>
              </w:rPr>
              <w:t>Forest crops of "Burabay» SNNP</w:t>
            </w:r>
          </w:p>
        </w:tc>
        <w:tc>
          <w:tcPr>
            <w:tcW w:w="2050"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у=0,0002х</w:t>
            </w:r>
            <w:r w:rsidRPr="00141BED">
              <w:rPr>
                <w:rFonts w:ascii="Times New Roman" w:hAnsi="Times New Roman"/>
                <w:sz w:val="24"/>
                <w:szCs w:val="24"/>
                <w:vertAlign w:val="superscript"/>
              </w:rPr>
              <w:t>2</w:t>
            </w:r>
            <w:r w:rsidRPr="00141BED">
              <w:rPr>
                <w:rFonts w:ascii="Times New Roman" w:hAnsi="Times New Roman"/>
                <w:sz w:val="24"/>
                <w:szCs w:val="24"/>
              </w:rPr>
              <w:t>-0,8725х+876,21</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=0,9067</w:t>
            </w:r>
          </w:p>
        </w:tc>
        <w:tc>
          <w:tcPr>
            <w:tcW w:w="2050"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у=0,0002х</w:t>
            </w:r>
            <w:r w:rsidRPr="00141BED">
              <w:rPr>
                <w:rFonts w:ascii="Times New Roman" w:hAnsi="Times New Roman"/>
                <w:sz w:val="24"/>
                <w:szCs w:val="24"/>
                <w:vertAlign w:val="superscript"/>
              </w:rPr>
              <w:t>2</w:t>
            </w:r>
            <w:r w:rsidRPr="00141BED">
              <w:rPr>
                <w:rFonts w:ascii="Times New Roman" w:hAnsi="Times New Roman"/>
                <w:sz w:val="24"/>
                <w:szCs w:val="24"/>
              </w:rPr>
              <w:t>-0,8628х+866,57</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=0,8498</w:t>
            </w:r>
          </w:p>
        </w:tc>
        <w:tc>
          <w:tcPr>
            <w:tcW w:w="1773"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у=0,0004х</w:t>
            </w:r>
            <w:r w:rsidRPr="00141BED">
              <w:rPr>
                <w:rFonts w:ascii="Times New Roman" w:hAnsi="Times New Roman"/>
                <w:sz w:val="24"/>
                <w:szCs w:val="24"/>
                <w:vertAlign w:val="superscript"/>
              </w:rPr>
              <w:t>2</w:t>
            </w:r>
            <w:r w:rsidRPr="00141BED">
              <w:rPr>
                <w:rFonts w:ascii="Times New Roman" w:hAnsi="Times New Roman"/>
                <w:sz w:val="24"/>
                <w:szCs w:val="24"/>
              </w:rPr>
              <w:t>-1,5537х+1553,3</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=0,9014</w:t>
            </w:r>
          </w:p>
        </w:tc>
        <w:tc>
          <w:tcPr>
            <w:tcW w:w="1773"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у=0,0002х</w:t>
            </w:r>
            <w:r w:rsidRPr="00141BED">
              <w:rPr>
                <w:rFonts w:ascii="Times New Roman" w:hAnsi="Times New Roman"/>
                <w:sz w:val="24"/>
                <w:szCs w:val="24"/>
                <w:vertAlign w:val="superscript"/>
              </w:rPr>
              <w:t>2</w:t>
            </w:r>
            <w:r w:rsidRPr="00141BED">
              <w:rPr>
                <w:rFonts w:ascii="Times New Roman" w:hAnsi="Times New Roman"/>
                <w:sz w:val="24"/>
                <w:szCs w:val="24"/>
              </w:rPr>
              <w:t>-0,6155х+619,38</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=0,8776</w:t>
            </w:r>
          </w:p>
        </w:tc>
      </w:tr>
      <w:tr w:rsidR="00141BED" w:rsidRPr="00141BED" w:rsidTr="000D2E00">
        <w:trPr>
          <w:trHeight w:val="160"/>
        </w:trPr>
        <w:tc>
          <w:tcPr>
            <w:tcW w:w="2186" w:type="dxa"/>
          </w:tcPr>
          <w:p w:rsidR="005967D6" w:rsidRPr="00141BED" w:rsidRDefault="005967D6" w:rsidP="00F813EF">
            <w:pPr>
              <w:spacing w:after="0" w:line="240" w:lineRule="auto"/>
              <w:rPr>
                <w:rFonts w:ascii="Times New Roman" w:hAnsi="Times New Roman"/>
                <w:sz w:val="24"/>
                <w:szCs w:val="24"/>
                <w:lang w:val="en-US"/>
              </w:rPr>
            </w:pPr>
            <w:r w:rsidRPr="00141BED">
              <w:rPr>
                <w:rFonts w:ascii="Times New Roman" w:hAnsi="Times New Roman"/>
                <w:sz w:val="24"/>
                <w:szCs w:val="24"/>
                <w:lang w:val="en-US"/>
              </w:rPr>
              <w:t>Natural plantings of the "Semey Ormany"SFNR</w:t>
            </w:r>
          </w:p>
        </w:tc>
        <w:tc>
          <w:tcPr>
            <w:tcW w:w="2050"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у=9Е-05х</w:t>
            </w:r>
            <w:r w:rsidRPr="00141BED">
              <w:rPr>
                <w:rFonts w:ascii="Times New Roman" w:hAnsi="Times New Roman"/>
                <w:sz w:val="24"/>
                <w:szCs w:val="24"/>
                <w:vertAlign w:val="superscript"/>
              </w:rPr>
              <w:t>3</w:t>
            </w:r>
            <w:r w:rsidRPr="00141BED">
              <w:rPr>
                <w:rFonts w:ascii="Times New Roman" w:hAnsi="Times New Roman"/>
                <w:sz w:val="24"/>
                <w:szCs w:val="24"/>
              </w:rPr>
              <w:t>-0,5454х</w:t>
            </w:r>
            <w:r w:rsidRPr="00141BED">
              <w:rPr>
                <w:rFonts w:ascii="Times New Roman" w:hAnsi="Times New Roman"/>
                <w:sz w:val="24"/>
                <w:szCs w:val="24"/>
                <w:vertAlign w:val="superscript"/>
              </w:rPr>
              <w:t>2</w:t>
            </w:r>
            <w:r w:rsidRPr="00141BED">
              <w:rPr>
                <w:rFonts w:ascii="Times New Roman" w:hAnsi="Times New Roman"/>
                <w:sz w:val="24"/>
                <w:szCs w:val="24"/>
              </w:rPr>
              <w:t>+1084,3х-718577</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=0,927</w:t>
            </w:r>
          </w:p>
        </w:tc>
        <w:tc>
          <w:tcPr>
            <w:tcW w:w="2050"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у=2Е-05х</w:t>
            </w:r>
            <w:r w:rsidRPr="00141BED">
              <w:rPr>
                <w:rFonts w:ascii="Times New Roman" w:hAnsi="Times New Roman"/>
                <w:sz w:val="24"/>
                <w:szCs w:val="24"/>
                <w:vertAlign w:val="superscript"/>
              </w:rPr>
              <w:t>3</w:t>
            </w:r>
            <w:r w:rsidRPr="00141BED">
              <w:rPr>
                <w:rFonts w:ascii="Times New Roman" w:hAnsi="Times New Roman"/>
                <w:sz w:val="24"/>
                <w:szCs w:val="24"/>
              </w:rPr>
              <w:t>-0,1006х</w:t>
            </w:r>
            <w:r w:rsidRPr="00141BED">
              <w:rPr>
                <w:rFonts w:ascii="Times New Roman" w:hAnsi="Times New Roman"/>
                <w:sz w:val="24"/>
                <w:szCs w:val="24"/>
                <w:vertAlign w:val="superscript"/>
              </w:rPr>
              <w:t>2</w:t>
            </w:r>
            <w:r w:rsidRPr="00141BED">
              <w:rPr>
                <w:rFonts w:ascii="Times New Roman" w:hAnsi="Times New Roman"/>
                <w:sz w:val="24"/>
                <w:szCs w:val="24"/>
              </w:rPr>
              <w:t>+191,55х-121577</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=0,6397</w:t>
            </w:r>
          </w:p>
        </w:tc>
        <w:tc>
          <w:tcPr>
            <w:tcW w:w="1773"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у=0,0002х</w:t>
            </w:r>
            <w:r w:rsidRPr="00141BED">
              <w:rPr>
                <w:rFonts w:ascii="Times New Roman" w:hAnsi="Times New Roman"/>
                <w:sz w:val="24"/>
                <w:szCs w:val="24"/>
                <w:vertAlign w:val="superscript"/>
              </w:rPr>
              <w:t>2</w:t>
            </w:r>
            <w:r w:rsidRPr="00141BED">
              <w:rPr>
                <w:rFonts w:ascii="Times New Roman" w:hAnsi="Times New Roman"/>
                <w:sz w:val="24"/>
                <w:szCs w:val="24"/>
              </w:rPr>
              <w:t>-0,7572х+753</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=0,5061</w:t>
            </w:r>
          </w:p>
        </w:tc>
        <w:tc>
          <w:tcPr>
            <w:tcW w:w="1773"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у=0,0002х</w:t>
            </w:r>
            <w:r w:rsidRPr="00141BED">
              <w:rPr>
                <w:rFonts w:ascii="Times New Roman" w:hAnsi="Times New Roman"/>
                <w:sz w:val="24"/>
                <w:szCs w:val="24"/>
                <w:vertAlign w:val="superscript"/>
              </w:rPr>
              <w:t>2</w:t>
            </w:r>
            <w:r w:rsidRPr="00141BED">
              <w:rPr>
                <w:rFonts w:ascii="Times New Roman" w:hAnsi="Times New Roman"/>
                <w:sz w:val="24"/>
                <w:szCs w:val="24"/>
              </w:rPr>
              <w:t>-0,7934х+788,56</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=0,5111</w:t>
            </w:r>
          </w:p>
        </w:tc>
      </w:tr>
      <w:tr w:rsidR="00141BED" w:rsidRPr="00141BED" w:rsidTr="000D2E00">
        <w:trPr>
          <w:trHeight w:val="160"/>
        </w:trPr>
        <w:tc>
          <w:tcPr>
            <w:tcW w:w="2186" w:type="dxa"/>
          </w:tcPr>
          <w:p w:rsidR="005967D6" w:rsidRPr="00141BED" w:rsidRDefault="005967D6" w:rsidP="00F813EF">
            <w:pPr>
              <w:spacing w:after="0" w:line="240" w:lineRule="auto"/>
              <w:rPr>
                <w:rFonts w:ascii="Times New Roman" w:hAnsi="Times New Roman"/>
                <w:sz w:val="24"/>
                <w:szCs w:val="24"/>
                <w:lang w:val="en-US"/>
              </w:rPr>
            </w:pPr>
            <w:r w:rsidRPr="00141BED">
              <w:rPr>
                <w:rFonts w:ascii="Times New Roman" w:hAnsi="Times New Roman"/>
                <w:sz w:val="24"/>
                <w:szCs w:val="24"/>
                <w:lang w:val="en-US"/>
              </w:rPr>
              <w:t>Forest cultures of "Semey ormany»SFNR</w:t>
            </w:r>
          </w:p>
        </w:tc>
        <w:tc>
          <w:tcPr>
            <w:tcW w:w="2050"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у=0,0015х</w:t>
            </w:r>
            <w:r w:rsidRPr="00141BED">
              <w:rPr>
                <w:rFonts w:ascii="Times New Roman" w:hAnsi="Times New Roman"/>
                <w:sz w:val="24"/>
                <w:szCs w:val="24"/>
                <w:vertAlign w:val="superscript"/>
              </w:rPr>
              <w:t>2</w:t>
            </w:r>
            <w:r w:rsidRPr="00141BED">
              <w:rPr>
                <w:rFonts w:ascii="Times New Roman" w:hAnsi="Times New Roman"/>
                <w:sz w:val="24"/>
                <w:szCs w:val="24"/>
              </w:rPr>
              <w:t>-5,9364х+6061,2</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=0,9484</w:t>
            </w:r>
          </w:p>
        </w:tc>
        <w:tc>
          <w:tcPr>
            <w:tcW w:w="2050"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у=0,0112х</w:t>
            </w:r>
            <w:r w:rsidRPr="00141BED">
              <w:rPr>
                <w:rFonts w:ascii="Times New Roman" w:hAnsi="Times New Roman"/>
                <w:sz w:val="24"/>
                <w:szCs w:val="24"/>
                <w:vertAlign w:val="superscript"/>
              </w:rPr>
              <w:t>2</w:t>
            </w:r>
            <w:r w:rsidRPr="00141BED">
              <w:rPr>
                <w:rFonts w:ascii="Times New Roman" w:hAnsi="Times New Roman"/>
                <w:sz w:val="24"/>
                <w:szCs w:val="24"/>
              </w:rPr>
              <w:t>-44,796х+44957</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=1,0</w:t>
            </w:r>
          </w:p>
        </w:tc>
        <w:tc>
          <w:tcPr>
            <w:tcW w:w="1773"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у=0,0124х</w:t>
            </w:r>
            <w:r w:rsidRPr="00141BED">
              <w:rPr>
                <w:rFonts w:ascii="Times New Roman" w:hAnsi="Times New Roman"/>
                <w:sz w:val="24"/>
                <w:szCs w:val="24"/>
                <w:vertAlign w:val="superscript"/>
              </w:rPr>
              <w:t>2</w:t>
            </w:r>
            <w:r w:rsidRPr="00141BED">
              <w:rPr>
                <w:rFonts w:ascii="Times New Roman" w:hAnsi="Times New Roman"/>
                <w:sz w:val="24"/>
                <w:szCs w:val="24"/>
              </w:rPr>
              <w:t>-49,669х+49795</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=0,9926</w:t>
            </w:r>
          </w:p>
        </w:tc>
        <w:tc>
          <w:tcPr>
            <w:tcW w:w="1773" w:type="dxa"/>
          </w:tcPr>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rPr>
              <w:t>у=0,0031х</w:t>
            </w:r>
            <w:r w:rsidRPr="00141BED">
              <w:rPr>
                <w:rFonts w:ascii="Times New Roman" w:hAnsi="Times New Roman"/>
                <w:sz w:val="24"/>
                <w:szCs w:val="24"/>
                <w:vertAlign w:val="superscript"/>
              </w:rPr>
              <w:t>2</w:t>
            </w:r>
            <w:r w:rsidRPr="00141BED">
              <w:rPr>
                <w:rFonts w:ascii="Times New Roman" w:hAnsi="Times New Roman"/>
                <w:sz w:val="24"/>
                <w:szCs w:val="24"/>
              </w:rPr>
              <w:t>-12,414х+12526</w:t>
            </w:r>
          </w:p>
          <w:p w:rsidR="005967D6" w:rsidRPr="00141BED" w:rsidRDefault="005967D6" w:rsidP="00F813EF">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2</w:t>
            </w:r>
            <w:r w:rsidRPr="00141BED">
              <w:rPr>
                <w:rFonts w:ascii="Times New Roman" w:hAnsi="Times New Roman"/>
                <w:sz w:val="24"/>
                <w:szCs w:val="24"/>
              </w:rPr>
              <w:t>=0,7944</w:t>
            </w:r>
          </w:p>
        </w:tc>
      </w:tr>
    </w:tbl>
    <w:p w:rsidR="00A820F1" w:rsidRDefault="00A820F1" w:rsidP="00141BED">
      <w:pPr>
        <w:spacing w:after="0" w:line="360" w:lineRule="auto"/>
        <w:rPr>
          <w:rFonts w:ascii="Times New Roman" w:hAnsi="Times New Roman"/>
          <w:sz w:val="24"/>
          <w:szCs w:val="24"/>
        </w:rPr>
      </w:pPr>
    </w:p>
    <w:p w:rsidR="00F813EF" w:rsidRPr="00141BED" w:rsidRDefault="00F813EF" w:rsidP="00F813EF">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It is determined that in the future the radial growth will decrease in both observed plantings, which is obvious at their significant age.</w:t>
      </w:r>
    </w:p>
    <w:p w:rsidR="00F813EF" w:rsidRPr="00141BED" w:rsidRDefault="00F813EF" w:rsidP="00F813EF">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forecast model of plant growth in "Burabay" SNNP and "Semey ormany" SFNR after various tending felling techniques is as follows. Table 8 shows that the highest approximation coefficient was observed after the second reception of tending felling in both regions. This once again confirms our assumption that it is necessary to reduce the number of tending felling techniques in pine young plants.</w:t>
      </w:r>
    </w:p>
    <w:p w:rsidR="00B46608" w:rsidRPr="00141BED" w:rsidRDefault="00B46608" w:rsidP="00141BED">
      <w:pPr>
        <w:spacing w:after="0" w:line="360" w:lineRule="auto"/>
        <w:jc w:val="both"/>
        <w:rPr>
          <w:rFonts w:ascii="Times New Roman" w:hAnsi="Times New Roman"/>
          <w:sz w:val="24"/>
          <w:szCs w:val="24"/>
          <w:lang w:val="en-US"/>
        </w:rPr>
      </w:pPr>
    </w:p>
    <w:p w:rsidR="00A820F1" w:rsidRPr="00141BED" w:rsidRDefault="00B46608" w:rsidP="00141BED">
      <w:pPr>
        <w:spacing w:after="0" w:line="360" w:lineRule="auto"/>
        <w:jc w:val="both"/>
        <w:rPr>
          <w:rFonts w:ascii="Times New Roman" w:hAnsi="Times New Roman"/>
          <w:sz w:val="24"/>
          <w:szCs w:val="24"/>
          <w:lang w:val="en-US"/>
        </w:rPr>
      </w:pPr>
      <w:r w:rsidRPr="00141BED">
        <w:rPr>
          <w:rFonts w:ascii="Times New Roman" w:hAnsi="Times New Roman"/>
          <w:sz w:val="24"/>
          <w:szCs w:val="24"/>
          <w:lang w:val="en-US"/>
        </w:rPr>
        <w:t>Table 8 – forecast model of growth of natural pine forests in Northern and Eastern Kazakhstan</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1802"/>
        <w:gridCol w:w="1427"/>
        <w:gridCol w:w="1895"/>
        <w:gridCol w:w="2255"/>
      </w:tblGrid>
      <w:tr w:rsidR="00141BED" w:rsidRPr="00141BED" w:rsidTr="000D2E00">
        <w:trPr>
          <w:trHeight w:val="150"/>
        </w:trPr>
        <w:tc>
          <w:tcPr>
            <w:tcW w:w="2101" w:type="dxa"/>
            <w:vMerge w:val="restart"/>
          </w:tcPr>
          <w:p w:rsidR="00A820F1" w:rsidRPr="00141BED" w:rsidRDefault="00B46608" w:rsidP="00BC6FB9">
            <w:pPr>
              <w:spacing w:after="0" w:line="240" w:lineRule="auto"/>
              <w:jc w:val="both"/>
              <w:rPr>
                <w:rFonts w:ascii="Times New Roman" w:hAnsi="Times New Roman"/>
                <w:sz w:val="24"/>
                <w:szCs w:val="24"/>
                <w:lang w:val="en-US"/>
              </w:rPr>
            </w:pPr>
            <w:r w:rsidRPr="00141BED">
              <w:rPr>
                <w:rFonts w:ascii="Times New Roman" w:hAnsi="Times New Roman"/>
                <w:sz w:val="24"/>
                <w:szCs w:val="24"/>
                <w:lang w:val="en-US"/>
              </w:rPr>
              <w:t>Location of the site</w:t>
            </w:r>
          </w:p>
        </w:tc>
        <w:tc>
          <w:tcPr>
            <w:tcW w:w="7406" w:type="dxa"/>
            <w:gridSpan w:val="4"/>
          </w:tcPr>
          <w:p w:rsidR="00A820F1" w:rsidRPr="00141BED" w:rsidRDefault="00B46608" w:rsidP="00BC6FB9">
            <w:pPr>
              <w:spacing w:after="0" w:line="240" w:lineRule="auto"/>
              <w:jc w:val="center"/>
              <w:rPr>
                <w:rFonts w:ascii="Times New Roman" w:hAnsi="Times New Roman"/>
                <w:sz w:val="24"/>
                <w:szCs w:val="24"/>
              </w:rPr>
            </w:pPr>
            <w:r w:rsidRPr="00141BED">
              <w:rPr>
                <w:rFonts w:ascii="Times New Roman" w:hAnsi="Times New Roman"/>
                <w:sz w:val="24"/>
                <w:szCs w:val="24"/>
                <w:lang w:val="en-US"/>
              </w:rPr>
              <w:t>Felling techniques</w:t>
            </w:r>
          </w:p>
        </w:tc>
      </w:tr>
      <w:tr w:rsidR="00141BED" w:rsidRPr="00141BED" w:rsidTr="00BC6FB9">
        <w:trPr>
          <w:trHeight w:val="252"/>
        </w:trPr>
        <w:tc>
          <w:tcPr>
            <w:tcW w:w="2101" w:type="dxa"/>
            <w:vMerge/>
          </w:tcPr>
          <w:p w:rsidR="00A820F1" w:rsidRPr="00141BED" w:rsidRDefault="00A820F1" w:rsidP="00BC6FB9">
            <w:pPr>
              <w:spacing w:after="0" w:line="240" w:lineRule="auto"/>
              <w:jc w:val="both"/>
              <w:rPr>
                <w:rFonts w:ascii="Times New Roman" w:hAnsi="Times New Roman"/>
                <w:sz w:val="24"/>
                <w:szCs w:val="24"/>
              </w:rPr>
            </w:pPr>
          </w:p>
        </w:tc>
        <w:tc>
          <w:tcPr>
            <w:tcW w:w="1808" w:type="dxa"/>
          </w:tcPr>
          <w:p w:rsidR="00A820F1" w:rsidRPr="00141BED" w:rsidRDefault="00A820F1" w:rsidP="00BC6FB9">
            <w:pPr>
              <w:spacing w:after="0" w:line="240" w:lineRule="auto"/>
              <w:jc w:val="center"/>
              <w:rPr>
                <w:rFonts w:ascii="Times New Roman" w:hAnsi="Times New Roman"/>
                <w:sz w:val="24"/>
                <w:szCs w:val="24"/>
              </w:rPr>
            </w:pPr>
            <w:r w:rsidRPr="00141BED">
              <w:rPr>
                <w:rFonts w:ascii="Times New Roman" w:hAnsi="Times New Roman"/>
                <w:sz w:val="24"/>
                <w:szCs w:val="24"/>
              </w:rPr>
              <w:t>1</w:t>
            </w:r>
          </w:p>
        </w:tc>
        <w:tc>
          <w:tcPr>
            <w:tcW w:w="1428" w:type="dxa"/>
          </w:tcPr>
          <w:p w:rsidR="00A820F1" w:rsidRPr="00141BED" w:rsidRDefault="00A820F1" w:rsidP="00BC6FB9">
            <w:pPr>
              <w:spacing w:after="0" w:line="240" w:lineRule="auto"/>
              <w:jc w:val="center"/>
              <w:rPr>
                <w:rFonts w:ascii="Times New Roman" w:hAnsi="Times New Roman"/>
                <w:sz w:val="24"/>
                <w:szCs w:val="24"/>
              </w:rPr>
            </w:pPr>
            <w:r w:rsidRPr="00141BED">
              <w:rPr>
                <w:rFonts w:ascii="Times New Roman" w:hAnsi="Times New Roman"/>
                <w:sz w:val="24"/>
                <w:szCs w:val="24"/>
              </w:rPr>
              <w:t>2</w:t>
            </w:r>
          </w:p>
        </w:tc>
        <w:tc>
          <w:tcPr>
            <w:tcW w:w="1905" w:type="dxa"/>
          </w:tcPr>
          <w:p w:rsidR="00A820F1" w:rsidRPr="00141BED" w:rsidRDefault="00A820F1" w:rsidP="00BC6FB9">
            <w:pPr>
              <w:spacing w:after="0" w:line="240" w:lineRule="auto"/>
              <w:jc w:val="center"/>
              <w:rPr>
                <w:rFonts w:ascii="Times New Roman" w:hAnsi="Times New Roman"/>
                <w:sz w:val="24"/>
                <w:szCs w:val="24"/>
              </w:rPr>
            </w:pPr>
            <w:r w:rsidRPr="00141BED">
              <w:rPr>
                <w:rFonts w:ascii="Times New Roman" w:hAnsi="Times New Roman"/>
                <w:sz w:val="24"/>
                <w:szCs w:val="24"/>
              </w:rPr>
              <w:t>3</w:t>
            </w:r>
          </w:p>
        </w:tc>
        <w:tc>
          <w:tcPr>
            <w:tcW w:w="2265" w:type="dxa"/>
          </w:tcPr>
          <w:p w:rsidR="00A820F1" w:rsidRPr="00141BED" w:rsidRDefault="00A820F1" w:rsidP="00BC6FB9">
            <w:pPr>
              <w:spacing w:after="0" w:line="240" w:lineRule="auto"/>
              <w:jc w:val="center"/>
              <w:rPr>
                <w:rFonts w:ascii="Times New Roman" w:hAnsi="Times New Roman"/>
                <w:sz w:val="24"/>
                <w:szCs w:val="24"/>
              </w:rPr>
            </w:pPr>
            <w:r w:rsidRPr="00141BED">
              <w:rPr>
                <w:rFonts w:ascii="Times New Roman" w:hAnsi="Times New Roman"/>
                <w:sz w:val="24"/>
                <w:szCs w:val="24"/>
              </w:rPr>
              <w:t>4</w:t>
            </w:r>
          </w:p>
        </w:tc>
      </w:tr>
      <w:tr w:rsidR="00141BED" w:rsidRPr="00141BED" w:rsidTr="000D2E00">
        <w:trPr>
          <w:trHeight w:val="252"/>
        </w:trPr>
        <w:tc>
          <w:tcPr>
            <w:tcW w:w="2101" w:type="dxa"/>
          </w:tcPr>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rPr>
              <w:t>«</w:t>
            </w:r>
            <w:r w:rsidRPr="00141BED">
              <w:rPr>
                <w:rFonts w:ascii="Times New Roman" w:hAnsi="Times New Roman"/>
                <w:sz w:val="24"/>
                <w:szCs w:val="24"/>
                <w:lang w:val="en-US"/>
              </w:rPr>
              <w:t>Burabay</w:t>
            </w:r>
            <w:r w:rsidRPr="00141BED">
              <w:rPr>
                <w:rFonts w:ascii="Times New Roman" w:hAnsi="Times New Roman"/>
                <w:sz w:val="24"/>
                <w:szCs w:val="24"/>
              </w:rPr>
              <w:t>» SNNP</w:t>
            </w:r>
          </w:p>
        </w:tc>
        <w:tc>
          <w:tcPr>
            <w:tcW w:w="1808" w:type="dxa"/>
          </w:tcPr>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rPr>
              <w:t>у=0,012х-22,47</w:t>
            </w:r>
          </w:p>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 xml:space="preserve">2 </w:t>
            </w:r>
            <w:r w:rsidRPr="00141BED">
              <w:rPr>
                <w:rFonts w:ascii="Times New Roman" w:hAnsi="Times New Roman"/>
                <w:sz w:val="24"/>
                <w:szCs w:val="24"/>
              </w:rPr>
              <w:t>=0,4209</w:t>
            </w:r>
          </w:p>
        </w:tc>
        <w:tc>
          <w:tcPr>
            <w:tcW w:w="1428" w:type="dxa"/>
          </w:tcPr>
          <w:p w:rsidR="00FF07AB" w:rsidRPr="00141BED" w:rsidRDefault="00FF07AB" w:rsidP="00BC6FB9">
            <w:pPr>
              <w:spacing w:after="0" w:line="240" w:lineRule="auto"/>
              <w:ind w:firstLine="36"/>
              <w:jc w:val="both"/>
              <w:rPr>
                <w:rFonts w:ascii="Times New Roman" w:hAnsi="Times New Roman"/>
                <w:sz w:val="24"/>
                <w:szCs w:val="24"/>
              </w:rPr>
            </w:pPr>
            <w:r w:rsidRPr="00141BED">
              <w:rPr>
                <w:rFonts w:ascii="Times New Roman" w:hAnsi="Times New Roman"/>
                <w:sz w:val="24"/>
                <w:szCs w:val="24"/>
              </w:rPr>
              <w:t>у=0,0296х-57,196</w:t>
            </w:r>
          </w:p>
          <w:p w:rsidR="00FF07AB" w:rsidRPr="00141BED" w:rsidRDefault="00FF07AB" w:rsidP="00BC6FB9">
            <w:pPr>
              <w:spacing w:after="0" w:line="240" w:lineRule="auto"/>
              <w:ind w:firstLine="36"/>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 xml:space="preserve">2 </w:t>
            </w:r>
            <w:r w:rsidRPr="00141BED">
              <w:rPr>
                <w:rFonts w:ascii="Times New Roman" w:hAnsi="Times New Roman"/>
                <w:sz w:val="24"/>
                <w:szCs w:val="24"/>
              </w:rPr>
              <w:t>= 0,9221</w:t>
            </w:r>
          </w:p>
        </w:tc>
        <w:tc>
          <w:tcPr>
            <w:tcW w:w="1905" w:type="dxa"/>
          </w:tcPr>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rPr>
              <w:t>у=-0,0315х +62,489</w:t>
            </w:r>
          </w:p>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 xml:space="preserve">2 </w:t>
            </w:r>
            <w:r w:rsidRPr="00141BED">
              <w:rPr>
                <w:rFonts w:ascii="Times New Roman" w:hAnsi="Times New Roman"/>
                <w:sz w:val="24"/>
                <w:szCs w:val="24"/>
              </w:rPr>
              <w:t>= 0,5421</w:t>
            </w:r>
          </w:p>
        </w:tc>
        <w:tc>
          <w:tcPr>
            <w:tcW w:w="2265" w:type="dxa"/>
          </w:tcPr>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rPr>
              <w:t>у=0,0116х-22,233</w:t>
            </w:r>
          </w:p>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 xml:space="preserve">2 </w:t>
            </w:r>
            <w:r w:rsidRPr="00141BED">
              <w:rPr>
                <w:rFonts w:ascii="Times New Roman" w:hAnsi="Times New Roman"/>
                <w:sz w:val="24"/>
                <w:szCs w:val="24"/>
              </w:rPr>
              <w:t>= 0,3649</w:t>
            </w:r>
          </w:p>
          <w:p w:rsidR="00FF07AB" w:rsidRPr="00141BED" w:rsidRDefault="00FF07AB" w:rsidP="00BC6FB9">
            <w:pPr>
              <w:spacing w:after="0" w:line="240" w:lineRule="auto"/>
              <w:jc w:val="both"/>
              <w:rPr>
                <w:rFonts w:ascii="Times New Roman" w:hAnsi="Times New Roman"/>
                <w:sz w:val="24"/>
                <w:szCs w:val="24"/>
              </w:rPr>
            </w:pPr>
          </w:p>
        </w:tc>
      </w:tr>
      <w:tr w:rsidR="00141BED" w:rsidRPr="00141BED" w:rsidTr="00BC6FB9">
        <w:trPr>
          <w:trHeight w:val="252"/>
        </w:trPr>
        <w:tc>
          <w:tcPr>
            <w:tcW w:w="2101" w:type="dxa"/>
          </w:tcPr>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rPr>
              <w:t>«</w:t>
            </w:r>
            <w:r w:rsidRPr="00141BED">
              <w:rPr>
                <w:rFonts w:ascii="Times New Roman" w:hAnsi="Times New Roman"/>
                <w:sz w:val="24"/>
                <w:szCs w:val="24"/>
                <w:lang w:val="en-US"/>
              </w:rPr>
              <w:t>Semey Ormany</w:t>
            </w:r>
            <w:r w:rsidRPr="00141BED">
              <w:rPr>
                <w:rFonts w:ascii="Times New Roman" w:hAnsi="Times New Roman"/>
                <w:sz w:val="24"/>
                <w:szCs w:val="24"/>
              </w:rPr>
              <w:t>» SFNR</w:t>
            </w:r>
          </w:p>
        </w:tc>
        <w:tc>
          <w:tcPr>
            <w:tcW w:w="1808" w:type="dxa"/>
          </w:tcPr>
          <w:p w:rsidR="00FF07AB" w:rsidRPr="00141BED" w:rsidRDefault="00FF07AB" w:rsidP="00BC6FB9">
            <w:pPr>
              <w:spacing w:after="0" w:line="240" w:lineRule="auto"/>
              <w:jc w:val="both"/>
              <w:rPr>
                <w:rFonts w:ascii="Times New Roman" w:hAnsi="Times New Roman"/>
                <w:sz w:val="24"/>
                <w:szCs w:val="24"/>
                <w:vertAlign w:val="superscript"/>
              </w:rPr>
            </w:pPr>
            <w:r w:rsidRPr="00141BED">
              <w:rPr>
                <w:rFonts w:ascii="Times New Roman" w:hAnsi="Times New Roman"/>
                <w:sz w:val="24"/>
                <w:szCs w:val="24"/>
              </w:rPr>
              <w:t>у=-0,003х</w:t>
            </w:r>
            <w:proofErr w:type="gramStart"/>
            <w:r w:rsidRPr="00141BED">
              <w:rPr>
                <w:rFonts w:ascii="Times New Roman" w:hAnsi="Times New Roman"/>
                <w:sz w:val="24"/>
                <w:szCs w:val="24"/>
                <w:vertAlign w:val="superscript"/>
              </w:rPr>
              <w:t>2</w:t>
            </w:r>
            <w:proofErr w:type="gramEnd"/>
          </w:p>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rPr>
              <w:t>+11,78х-11561</w:t>
            </w:r>
          </w:p>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 xml:space="preserve">2 </w:t>
            </w:r>
            <w:r w:rsidRPr="00141BED">
              <w:rPr>
                <w:rFonts w:ascii="Times New Roman" w:hAnsi="Times New Roman"/>
                <w:sz w:val="24"/>
                <w:szCs w:val="24"/>
              </w:rPr>
              <w:t>= 0,8347</w:t>
            </w:r>
          </w:p>
        </w:tc>
        <w:tc>
          <w:tcPr>
            <w:tcW w:w="1428" w:type="dxa"/>
          </w:tcPr>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rPr>
              <w:t>у=0,144х-288,76</w:t>
            </w:r>
          </w:p>
          <w:p w:rsidR="00FF07AB" w:rsidRPr="00141BED" w:rsidRDefault="00FF07AB" w:rsidP="00BC6FB9">
            <w:pPr>
              <w:spacing w:after="0" w:line="240" w:lineRule="auto"/>
              <w:jc w:val="both"/>
              <w:rPr>
                <w:rFonts w:ascii="Times New Roman" w:hAnsi="Times New Roman"/>
                <w:sz w:val="24"/>
                <w:szCs w:val="24"/>
              </w:rPr>
            </w:pPr>
            <w:r w:rsidRPr="00141BED">
              <w:rPr>
                <w:rFonts w:ascii="Times New Roman" w:hAnsi="Times New Roman"/>
                <w:sz w:val="24"/>
                <w:szCs w:val="24"/>
                <w:lang w:val="en-US"/>
              </w:rPr>
              <w:t>R</w:t>
            </w:r>
            <w:r w:rsidRPr="00141BED">
              <w:rPr>
                <w:rFonts w:ascii="Times New Roman" w:hAnsi="Times New Roman"/>
                <w:sz w:val="24"/>
                <w:szCs w:val="24"/>
                <w:vertAlign w:val="superscript"/>
              </w:rPr>
              <w:t xml:space="preserve">2 </w:t>
            </w:r>
            <w:r w:rsidRPr="00141BED">
              <w:rPr>
                <w:rFonts w:ascii="Times New Roman" w:hAnsi="Times New Roman"/>
                <w:sz w:val="24"/>
                <w:szCs w:val="24"/>
              </w:rPr>
              <w:t>= 0,8728</w:t>
            </w:r>
          </w:p>
        </w:tc>
        <w:tc>
          <w:tcPr>
            <w:tcW w:w="1905" w:type="dxa"/>
          </w:tcPr>
          <w:p w:rsidR="00FF07AB" w:rsidRPr="00141BED" w:rsidRDefault="00FF07AB" w:rsidP="00BC6FB9">
            <w:pPr>
              <w:spacing w:after="0" w:line="240" w:lineRule="auto"/>
              <w:jc w:val="both"/>
              <w:rPr>
                <w:rFonts w:ascii="Times New Roman" w:hAnsi="Times New Roman"/>
                <w:sz w:val="24"/>
                <w:szCs w:val="24"/>
              </w:rPr>
            </w:pPr>
          </w:p>
        </w:tc>
        <w:tc>
          <w:tcPr>
            <w:tcW w:w="2265" w:type="dxa"/>
          </w:tcPr>
          <w:p w:rsidR="00FF07AB" w:rsidRPr="00141BED" w:rsidRDefault="00FF07AB" w:rsidP="00BC6FB9">
            <w:pPr>
              <w:spacing w:after="0" w:line="240" w:lineRule="auto"/>
              <w:jc w:val="both"/>
              <w:rPr>
                <w:rFonts w:ascii="Times New Roman" w:hAnsi="Times New Roman"/>
                <w:sz w:val="24"/>
                <w:szCs w:val="24"/>
              </w:rPr>
            </w:pPr>
          </w:p>
        </w:tc>
      </w:tr>
    </w:tbl>
    <w:p w:rsidR="00A820F1" w:rsidRPr="00141BED" w:rsidRDefault="00A820F1" w:rsidP="00141BED">
      <w:pPr>
        <w:spacing w:after="0" w:line="360" w:lineRule="auto"/>
        <w:ind w:firstLine="567"/>
        <w:jc w:val="both"/>
        <w:rPr>
          <w:rFonts w:ascii="Times New Roman" w:hAnsi="Times New Roman"/>
          <w:sz w:val="24"/>
          <w:szCs w:val="24"/>
        </w:rPr>
      </w:pPr>
    </w:p>
    <w:p w:rsidR="006E3FAB" w:rsidRPr="00141BED" w:rsidRDefault="006E3FAB" w:rsidP="00142F7C">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These formulas have a predictive value, with which it is possible to calculate the amount of growth averaged by a three-year moving average for any period of plant life. Moreover, these calculations can be performed during any period of solar activity, as well as predict the growth of Scots pine after the tending felling techniques. </w:t>
      </w:r>
    </w:p>
    <w:p w:rsidR="00A820F1" w:rsidRPr="001C4554" w:rsidRDefault="00966EC5" w:rsidP="00141BED">
      <w:pPr>
        <w:spacing w:after="0" w:line="360" w:lineRule="auto"/>
        <w:jc w:val="center"/>
        <w:rPr>
          <w:rFonts w:ascii="Times New Roman" w:hAnsi="Times New Roman"/>
          <w:b/>
          <w:sz w:val="24"/>
          <w:szCs w:val="24"/>
          <w:lang w:val="en-US"/>
        </w:rPr>
      </w:pPr>
      <w:r w:rsidRPr="001C4554">
        <w:rPr>
          <w:rFonts w:ascii="Times New Roman" w:hAnsi="Times New Roman"/>
          <w:b/>
          <w:sz w:val="24"/>
          <w:szCs w:val="24"/>
          <w:lang w:val="en-US"/>
        </w:rPr>
        <w:lastRenderedPageBreak/>
        <w:t>CONCLUSION</w:t>
      </w:r>
    </w:p>
    <w:p w:rsidR="00966EC5" w:rsidRPr="00141BED" w:rsidRDefault="00966EC5" w:rsidP="00141BED">
      <w:pPr>
        <w:spacing w:after="0" w:line="360" w:lineRule="auto"/>
        <w:jc w:val="both"/>
        <w:rPr>
          <w:rFonts w:ascii="Times New Roman" w:hAnsi="Times New Roman"/>
          <w:sz w:val="24"/>
          <w:szCs w:val="24"/>
          <w:lang w:val="en-US"/>
        </w:rPr>
      </w:pPr>
    </w:p>
    <w:p w:rsidR="00C449FF" w:rsidRPr="00141BED" w:rsidRDefault="00C449F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Dendrochronological analysis of pine growing in the conditions of Northern and Eastern Kazakhstan revealed the peculiarities of its growth in dry forest conditions. On average, the period of intensive growth of pine forests is 25-35 years, after which a decrease in the influence of the age factor on the value of the annual ring width is noted.</w:t>
      </w:r>
    </w:p>
    <w:p w:rsidR="00C449FF" w:rsidRPr="00141BED" w:rsidRDefault="00C449F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According to the dendroclimatic analysis of pine tree-ring chronologies, it was found that the width of the annual ring is influenced to the greatest extent by the climatic signal of temperature and to the least extent by precipitation.</w:t>
      </w:r>
    </w:p>
    <w:p w:rsidR="00C449FF" w:rsidRPr="00141BED" w:rsidRDefault="00C449F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The first half of the growing season completely determines the</w:t>
      </w:r>
      <w:r w:rsidR="00352FEC" w:rsidRPr="00141BED">
        <w:rPr>
          <w:rFonts w:ascii="Times New Roman" w:hAnsi="Times New Roman"/>
          <w:sz w:val="24"/>
          <w:szCs w:val="24"/>
          <w:lang w:val="en-US"/>
        </w:rPr>
        <w:t xml:space="preserve"> width of the annual ring. Hot M</w:t>
      </w:r>
      <w:r w:rsidRPr="00141BED">
        <w:rPr>
          <w:rFonts w:ascii="Times New Roman" w:hAnsi="Times New Roman"/>
          <w:sz w:val="24"/>
          <w:szCs w:val="24"/>
          <w:lang w:val="en-US"/>
        </w:rPr>
        <w:t>ay and June negatively affect the radial growth of Scots pine, which grows in the dry forest conditions of Northern and Eastern Kazakhstan, and precipitation, on the contrary, contributes to the formation of wider annual rings. At the same time, the main contribution to the variability of the annual ring width is made by air temperature.</w:t>
      </w:r>
    </w:p>
    <w:p w:rsidR="00C449FF" w:rsidRPr="00141BED" w:rsidRDefault="00C449F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Dendrochronological and dendroclimatic analysis of trees with fire dries showed differences within the tree between the two compared </w:t>
      </w:r>
      <w:proofErr w:type="gramStart"/>
      <w:r w:rsidRPr="00141BED">
        <w:rPr>
          <w:rFonts w:ascii="Times New Roman" w:hAnsi="Times New Roman"/>
          <w:sz w:val="24"/>
          <w:szCs w:val="24"/>
          <w:lang w:val="en-US"/>
        </w:rPr>
        <w:t>radius</w:t>
      </w:r>
      <w:proofErr w:type="gramEnd"/>
      <w:r w:rsidRPr="00141BED">
        <w:rPr>
          <w:rFonts w:ascii="Times New Roman" w:hAnsi="Times New Roman"/>
          <w:sz w:val="24"/>
          <w:szCs w:val="24"/>
          <w:lang w:val="en-US"/>
        </w:rPr>
        <w:t>. The fire-dried side of the trunk is characterized by a decrease in annual growth, a change in the nature of the dynamics of annual growth (a decrease in synchronicity with the opposite side of the tree stem). In addition, there were differences in the climate signal within the tree stem of fire-damaged trees. The fire-damaged side of the stem has more active growth at the beginning of the growing season (in May) and is more sensitive to climatic factors (temperature and precipitation) during this period. This may be due to the redistribution of metabolites within the tree stem. The intact side of the stem has a climate signal similar to the general climate signal for trees in the study area.</w:t>
      </w:r>
    </w:p>
    <w:p w:rsidR="00782F79" w:rsidRPr="00141BED" w:rsidRDefault="00C449FF" w:rsidP="00141BED">
      <w:pPr>
        <w:spacing w:after="0" w:line="360" w:lineRule="auto"/>
        <w:ind w:firstLine="567"/>
        <w:jc w:val="both"/>
        <w:rPr>
          <w:rFonts w:ascii="Times New Roman" w:hAnsi="Times New Roman"/>
          <w:sz w:val="24"/>
          <w:szCs w:val="24"/>
          <w:lang w:val="en-US"/>
        </w:rPr>
      </w:pPr>
      <w:r w:rsidRPr="00141BED">
        <w:rPr>
          <w:rFonts w:ascii="Times New Roman" w:hAnsi="Times New Roman"/>
          <w:noProof/>
          <w:sz w:val="24"/>
          <w:szCs w:val="24"/>
          <w:lang w:val="en-US" w:eastAsia="ru-RU"/>
        </w:rPr>
        <w:t>Studies conducted in natural pine forests "Burabay" SNNP showed that even after 5 methods of felling of strong intensity, the plantation is characterized as thickened with a fullness of 1.1. moreover, the control trees exceeded the growth of trees on the test area initially. After the first and second fellings, the increment on sample increased and was greater than in the control, but its initial excess of growth remained throughout the observations. In the last period, after the fifth felling session, the increment in the trial area was higher compared to the control, but in the final value it lagged behind the control by 4.35%.</w:t>
      </w:r>
      <w:r w:rsidR="00A820F1" w:rsidRPr="00141BED">
        <w:rPr>
          <w:rFonts w:ascii="Times New Roman" w:hAnsi="Times New Roman"/>
          <w:sz w:val="24"/>
          <w:szCs w:val="24"/>
          <w:lang w:val="en-US"/>
        </w:rPr>
        <w:t xml:space="preserve"> </w:t>
      </w:r>
      <w:r w:rsidR="00782F79" w:rsidRPr="00141BED">
        <w:rPr>
          <w:rFonts w:ascii="Times New Roman" w:hAnsi="Times New Roman"/>
          <w:sz w:val="24"/>
          <w:szCs w:val="24"/>
          <w:lang w:val="en-US"/>
        </w:rPr>
        <w:t xml:space="preserve">Studies conducted in natural pine forests "Burabay" SNNP showed that even after 5 methods of tending fellings of strong intensity, the plantation is characterized as thickened with a fullness of 1.1. </w:t>
      </w:r>
      <w:proofErr w:type="gramStart"/>
      <w:r w:rsidR="00782F79" w:rsidRPr="00141BED">
        <w:rPr>
          <w:rFonts w:ascii="Times New Roman" w:hAnsi="Times New Roman"/>
          <w:sz w:val="24"/>
          <w:szCs w:val="24"/>
          <w:lang w:val="en-US"/>
        </w:rPr>
        <w:t>moreover</w:t>
      </w:r>
      <w:proofErr w:type="gramEnd"/>
      <w:r w:rsidR="00782F79" w:rsidRPr="00141BED">
        <w:rPr>
          <w:rFonts w:ascii="Times New Roman" w:hAnsi="Times New Roman"/>
          <w:sz w:val="24"/>
          <w:szCs w:val="24"/>
          <w:lang w:val="en-US"/>
        </w:rPr>
        <w:t xml:space="preserve">, the control trees exceeded the growth of trees on the test plot initially. After the first and second fellings sessions, the increment in the sample increased and was greater than in the control, but its initial excess </w:t>
      </w:r>
      <w:r w:rsidR="00782F79" w:rsidRPr="00141BED">
        <w:rPr>
          <w:rFonts w:ascii="Times New Roman" w:hAnsi="Times New Roman"/>
          <w:sz w:val="24"/>
          <w:szCs w:val="24"/>
          <w:lang w:val="en-US"/>
        </w:rPr>
        <w:lastRenderedPageBreak/>
        <w:t>growth remained throughout the observations. In the last period, after the fifth felling session, the increment in the trial plot was higher compared to the control, but in the final value it lagged behind the control by 4.35%.</w:t>
      </w:r>
    </w:p>
    <w:p w:rsidR="00782F79" w:rsidRPr="00141BED" w:rsidRDefault="00782F7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After the felling techniques, there was no acceleration of increment in the plantings for all the years of observation. The greatest increment was observed from the beginning of the plant life to the first felling session, and the maximum values of the trait exceeded its values for all periods of plant growth. It is impossible to say unequivocally that with age, the radial increment gradually </w:t>
      </w:r>
      <w:proofErr w:type="gramStart"/>
      <w:r w:rsidRPr="00141BED">
        <w:rPr>
          <w:rFonts w:ascii="Times New Roman" w:hAnsi="Times New Roman"/>
          <w:sz w:val="24"/>
          <w:szCs w:val="24"/>
          <w:lang w:val="en-US"/>
        </w:rPr>
        <w:t>decreases,</w:t>
      </w:r>
      <w:proofErr w:type="gramEnd"/>
      <w:r w:rsidRPr="00141BED">
        <w:rPr>
          <w:rFonts w:ascii="Times New Roman" w:hAnsi="Times New Roman"/>
          <w:sz w:val="24"/>
          <w:szCs w:val="24"/>
          <w:lang w:val="en-US"/>
        </w:rPr>
        <w:t xml:space="preserve"> its changes can be described as abrupt. The first period of tree life is described as asymmetric, which is confirmed by the kurtosis indicators. Growth indicators during this period have an abnormal distribution, because the attribute is highly variable. There is a slight asymmetry only in the third period, when the distribution of the trait is normal. In other periods, the asymmetry is close to significant. The cyclicity in the growth of trees is revealed, the cycle is from 9 to 15 years. </w:t>
      </w:r>
    </w:p>
    <w:p w:rsidR="00782F79" w:rsidRPr="00141BED" w:rsidRDefault="00782F79"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Research in this plantation should be continued, because the answer to the question is not received, for what reason in the control plantation, with a more thickened stand of trees and without thinning, higher values of radial increment were observed under all other similar habitat conditions.</w:t>
      </w:r>
    </w:p>
    <w:p w:rsidR="00DB1896" w:rsidRPr="00141BED" w:rsidRDefault="00DB189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As a result of the dendroclimatic analysis, a decrease in the influence of June temperature and precipitation over the past 15 years on the width of the annual ring of pine trees in thickened pine stands of dry growing conditions of "Burabay" SNNP with tending felling carried out in them with a strong thinning intensity (35.7% of the stock) is confirmed by a statistically reliable correlation of these indicators, this is the basis for the approval of the positive effect of tending felling of a strong thinning intensity in thickened pine forests in dry forest conditions of the Kazakh hillocky area and a decrease in the relationship of radial increment with climatic factors.</w:t>
      </w:r>
    </w:p>
    <w:p w:rsidR="004E0D92" w:rsidRPr="00141BED" w:rsidRDefault="004E0D92"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In the artificial pine forests of "Semey ormany" SFNR at the time of research on the value of the average radial increment before felling of moderate intensity was 8.6% higher than the same indicator in the control, after felling – 58.0%. Although the average values for all the years of observation on the test area were 13.2% higher than on the control area, the acceleration of tree growth after felling is clearly noticeable, when the increment increased by more than 2 times. After tending felling, the radial </w:t>
      </w:r>
      <w:proofErr w:type="gramStart"/>
      <w:r w:rsidRPr="00141BED">
        <w:rPr>
          <w:rFonts w:ascii="Times New Roman" w:hAnsi="Times New Roman"/>
          <w:sz w:val="24"/>
          <w:szCs w:val="24"/>
          <w:lang w:val="en-US"/>
        </w:rPr>
        <w:t>increment on the test area were</w:t>
      </w:r>
      <w:proofErr w:type="gramEnd"/>
      <w:r w:rsidRPr="00141BED">
        <w:rPr>
          <w:rFonts w:ascii="Times New Roman" w:hAnsi="Times New Roman"/>
          <w:sz w:val="24"/>
          <w:szCs w:val="24"/>
          <w:lang w:val="en-US"/>
        </w:rPr>
        <w:t xml:space="preserve"> greater than on the control area for the same period. The maximum values of this feature were 1.58 mm, while the control for the period after tending felling on the test area was 1.20 mm.</w:t>
      </w:r>
    </w:p>
    <w:p w:rsidR="006B4B54" w:rsidRPr="00141BED" w:rsidRDefault="006B4B54"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lastRenderedPageBreak/>
        <w:t>Using the example of SFNR "Semey ormany" forest crops, it is obvious that tending felling is necessary and justified. It is clearly seen that after the tending work, there was a significant increase in the radial increment of trees.</w:t>
      </w:r>
    </w:p>
    <w:p w:rsidR="006B4B54" w:rsidRPr="00141BED" w:rsidRDefault="006B4B54"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In modern forest management, five methods of tending are not economically and practically profitable. Therefore, we can assume that one or two tending felling technics will be held in the plantings under consideration, followed by tending felling passage ways for the adolescent-the young generation of the forest. The first tending felling is recommended at the age of 20-25 years of strong intensity of thinning (26-35% by reserve) by the grassroots method. The second one should be carried out at the age of 40-50 years with an intensity of thinning 26-35% of the stock by the grass-roots method with a decrease in the relative completeness of the stand to 0.7-0.8, followed by only sanitary felling in pine stands in combination with care for the adolescent. At the same time, thickened stands should be considered if their density exceeds the standard values by 25% or more at the corresponding age in the growth progress tables.</w:t>
      </w:r>
    </w:p>
    <w:p w:rsidR="00921FF1" w:rsidRPr="00141BED" w:rsidRDefault="00921F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It is well known that in addition to numerous soil and climate factors, the growth of trees is influenced by solar insolation. In "Semey ormany" SFNR, the radial increment of pine trees in the years of maximum solar activity was 0.77 mm in the test area, 0.88 mm in the control area, and 0.70 and 0.68 mm in the years of minimum solar activity, respectively. In this case, the increment difference between the high and low epochs was 9.1 and 22.3%, respectively.</w:t>
      </w:r>
    </w:p>
    <w:p w:rsidR="009720AB" w:rsidRPr="00141BED" w:rsidRDefault="009720A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According to the index estimate, the maximum solar activity accounts for 28.6% of the maximum increment, 71.4% - for the decline branch. The phases of solar activity at the minimum increment are more diverse – 30.0% fall on the highs, 20.0% - on the branches of decline and 50% - on the branches of growth. Consequently, at maximum solar activity, pine increment is observed with both the highest and lowest values. On the branches of decline, the maximum increment of pine is observed, and on the branches of growth, trees have the smallest increment. The conducted correlation analysis between pine increment indicators and environmental factors (average temperatures of the growing season and annual), as well as between Wolf numbers (solar activity), showed that there is a close negative correlation, significant at the level of </w:t>
      </w:r>
      <w:r w:rsidRPr="00141BED">
        <w:rPr>
          <w:rFonts w:ascii="Times New Roman" w:hAnsi="Times New Roman"/>
          <w:i/>
          <w:sz w:val="24"/>
          <w:szCs w:val="24"/>
          <w:lang w:val="en-US"/>
        </w:rPr>
        <w:t>p&lt;0.005</w:t>
      </w:r>
      <w:r w:rsidRPr="00141BED">
        <w:rPr>
          <w:rFonts w:ascii="Times New Roman" w:hAnsi="Times New Roman"/>
          <w:sz w:val="24"/>
          <w:szCs w:val="24"/>
          <w:lang w:val="en-US"/>
        </w:rPr>
        <w:t>, between the average temperature and increment (R= - 0.24 and 0.47). The relationship between solar intensity and increment is very weak (R=0.06).</w:t>
      </w:r>
    </w:p>
    <w:p w:rsidR="009720AB" w:rsidRPr="00141BED" w:rsidRDefault="009720A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Since there was no clear and unambiguous influence of solar activity on pine increment, as was observed in the "Semey ormany" SFNR, in the natural forests of "Burabay" SNNP, the percentage of minimum and maximum increment values was calculated depending on the Wolf numbers. At the minimum increment, 29.2% falls on the maximum values of solar activity, 50.0% of the increment values are observed on the decline branch and 20.8% - on the growth </w:t>
      </w:r>
      <w:r w:rsidRPr="00141BED">
        <w:rPr>
          <w:rFonts w:ascii="Times New Roman" w:hAnsi="Times New Roman"/>
          <w:sz w:val="24"/>
          <w:szCs w:val="24"/>
          <w:lang w:val="en-US"/>
        </w:rPr>
        <w:lastRenderedPageBreak/>
        <w:t>branch. Years with maximum solar activity account for 25.9% of the maximum increment, 29.6% for the growth branch, and 44.4% for the decline branch. Approximately the same minimum and maximum increment falls on all phases of solar activity, so it is impossible to state with confidence that any phase significantly affects the radial increment of Scots pine in Northern Kazakhstan.</w:t>
      </w:r>
    </w:p>
    <w:p w:rsidR="009720AB" w:rsidRPr="00141BED" w:rsidRDefault="009720A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We can say that at a younger age, the influence of various natural factors is more pronounced, as we see on the example of two different-age plantings in Northern and Eastern Kazakhstan.</w:t>
      </w:r>
    </w:p>
    <w:p w:rsidR="009720AB" w:rsidRPr="00141BED" w:rsidRDefault="009720A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The analysis of the radial increment during the entire observed cycle revealed formulas that can be used to forecast growth for any period of the existence of Scots pine plantations in the conditions of Northern and Eastern Kazakhstan. According to observations over the entire life of the "Burabay" SNNP plantation, the approximation confidence level has an average value of R2 = 0.599. When identifying the relationship between the largest </w:t>
      </w:r>
      <w:proofErr w:type="gramStart"/>
      <w:r w:rsidRPr="00141BED">
        <w:rPr>
          <w:rFonts w:ascii="Times New Roman" w:hAnsi="Times New Roman"/>
          <w:sz w:val="24"/>
          <w:szCs w:val="24"/>
          <w:lang w:val="en-US"/>
        </w:rPr>
        <w:t>increment</w:t>
      </w:r>
      <w:proofErr w:type="gramEnd"/>
      <w:r w:rsidRPr="00141BED">
        <w:rPr>
          <w:rFonts w:ascii="Times New Roman" w:hAnsi="Times New Roman"/>
          <w:sz w:val="24"/>
          <w:szCs w:val="24"/>
          <w:lang w:val="en-US"/>
        </w:rPr>
        <w:t xml:space="preserve"> in the life cycles of stands with increasing tree age, the accuracy of the R2 approximation reaches 0.891, while at a younger age it varies from 0.365 to 0.429. In the "Semey ormany" SFNR, tending felling significantly affected the course of plant growth.</w:t>
      </w:r>
    </w:p>
    <w:p w:rsidR="009720AB" w:rsidRPr="00141BED" w:rsidRDefault="009720AB"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Approximation equations are obtained before and after tending felling, and the confidence coefficient is quite high – R2 = 0.8347-0.873.</w:t>
      </w:r>
    </w:p>
    <w:p w:rsidR="00A820F1" w:rsidRPr="00141BED" w:rsidRDefault="009720AB" w:rsidP="001C4554">
      <w:pPr>
        <w:spacing w:after="0" w:line="360" w:lineRule="auto"/>
        <w:ind w:firstLine="567"/>
        <w:jc w:val="both"/>
        <w:rPr>
          <w:rFonts w:ascii="Times New Roman" w:hAnsi="Times New Roman"/>
          <w:sz w:val="24"/>
          <w:szCs w:val="24"/>
          <w:lang w:val="kk-KZ"/>
        </w:rPr>
      </w:pPr>
      <w:r w:rsidRPr="00141BED">
        <w:rPr>
          <w:rFonts w:ascii="Times New Roman" w:hAnsi="Times New Roman"/>
          <w:sz w:val="24"/>
          <w:szCs w:val="24"/>
          <w:lang w:val="en-US"/>
        </w:rPr>
        <w:t>The given formulas have a predictive value, with the help of which it is possible to calculate the value of increment averaged by a three-year moving average for any period of plant life. If the greatest increment is detected using the specified formulas in these stands and other stands that are close in age and located in dry habitats, you can plan to conduct tending felling.</w:t>
      </w:r>
      <w:r w:rsidR="00A820F1" w:rsidRPr="00141BED">
        <w:rPr>
          <w:rFonts w:ascii="Times New Roman" w:hAnsi="Times New Roman"/>
          <w:sz w:val="24"/>
          <w:szCs w:val="24"/>
          <w:lang w:val="en-US"/>
        </w:rPr>
        <w:br w:type="page"/>
      </w:r>
    </w:p>
    <w:p w:rsidR="007252B4" w:rsidRPr="009E2CEA" w:rsidRDefault="009E2CEA" w:rsidP="009E2CEA">
      <w:pPr>
        <w:tabs>
          <w:tab w:val="center" w:pos="4960"/>
          <w:tab w:val="left" w:pos="6772"/>
        </w:tabs>
        <w:spacing w:after="0" w:line="360" w:lineRule="auto"/>
        <w:ind w:firstLine="567"/>
        <w:rPr>
          <w:rFonts w:ascii="Times New Roman" w:hAnsi="Times New Roman"/>
          <w:b/>
          <w:sz w:val="24"/>
          <w:szCs w:val="24"/>
          <w:lang w:val="en-US"/>
        </w:rPr>
      </w:pPr>
      <w:r>
        <w:rPr>
          <w:rFonts w:ascii="Times New Roman" w:hAnsi="Times New Roman"/>
          <w:b/>
          <w:sz w:val="24"/>
          <w:szCs w:val="24"/>
          <w:lang w:val="en-US"/>
        </w:rPr>
        <w:lastRenderedPageBreak/>
        <w:tab/>
      </w:r>
      <w:r w:rsidR="00187AC8" w:rsidRPr="001C4554">
        <w:rPr>
          <w:rFonts w:ascii="Times New Roman" w:hAnsi="Times New Roman"/>
          <w:b/>
          <w:sz w:val="24"/>
          <w:szCs w:val="24"/>
          <w:lang w:val="en-US"/>
        </w:rPr>
        <w:t>LIST OF</w:t>
      </w:r>
      <w:r w:rsidRPr="009E2CEA">
        <w:rPr>
          <w:rFonts w:ascii="Times New Roman" w:hAnsi="Times New Roman"/>
          <w:b/>
          <w:sz w:val="24"/>
          <w:szCs w:val="24"/>
          <w:lang w:val="en-US"/>
        </w:rPr>
        <w:t xml:space="preserve"> </w:t>
      </w:r>
      <w:r>
        <w:rPr>
          <w:rFonts w:ascii="Times New Roman" w:hAnsi="Times New Roman"/>
          <w:b/>
          <w:sz w:val="24"/>
          <w:szCs w:val="24"/>
          <w:lang w:val="en-US"/>
        </w:rPr>
        <w:t>SOURCER USED</w:t>
      </w:r>
      <w:r>
        <w:rPr>
          <w:rFonts w:ascii="Times New Roman" w:hAnsi="Times New Roman"/>
          <w:b/>
          <w:sz w:val="24"/>
          <w:szCs w:val="24"/>
          <w:lang w:val="en-US"/>
        </w:rPr>
        <w:tab/>
      </w:r>
    </w:p>
    <w:p w:rsidR="00A820F1" w:rsidRPr="00141BED" w:rsidRDefault="00A820F1" w:rsidP="00141BED">
      <w:pPr>
        <w:spacing w:after="0" w:line="360" w:lineRule="auto"/>
        <w:ind w:firstLine="567"/>
        <w:jc w:val="center"/>
        <w:rPr>
          <w:rFonts w:ascii="Times New Roman" w:hAnsi="Times New Roman"/>
          <w:sz w:val="24"/>
          <w:szCs w:val="24"/>
          <w:lang w:val="en-US"/>
        </w:rPr>
      </w:pPr>
    </w:p>
    <w:p w:rsidR="007252B4" w:rsidRPr="00141B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1. </w:t>
      </w:r>
      <w:r w:rsidR="007252B4" w:rsidRPr="00141BED">
        <w:rPr>
          <w:rFonts w:ascii="Times New Roman" w:hAnsi="Times New Roman"/>
          <w:sz w:val="24"/>
          <w:szCs w:val="24"/>
          <w:lang w:val="en-US"/>
        </w:rPr>
        <w:t xml:space="preserve">Komin G. E. Application of dendrochronological methods in ecological monitoring of forests // forest science. – 1990. – </w:t>
      </w:r>
      <w:r w:rsidR="001C4554" w:rsidRPr="00141BED">
        <w:rPr>
          <w:rFonts w:ascii="Times New Roman" w:hAnsi="Times New Roman"/>
          <w:sz w:val="24"/>
          <w:szCs w:val="24"/>
          <w:lang w:val="en-US"/>
        </w:rPr>
        <w:t>No</w:t>
      </w:r>
      <w:r w:rsidR="007252B4" w:rsidRPr="00141BED">
        <w:rPr>
          <w:rFonts w:ascii="Times New Roman" w:hAnsi="Times New Roman"/>
          <w:sz w:val="24"/>
          <w:szCs w:val="24"/>
          <w:lang w:val="en-US"/>
        </w:rPr>
        <w:t xml:space="preserve"> 2. – P. 3-11</w:t>
      </w:r>
      <w:r w:rsidR="001C4554" w:rsidRPr="001C4554">
        <w:rPr>
          <w:rFonts w:ascii="Times New Roman" w:hAnsi="Times New Roman"/>
          <w:sz w:val="24"/>
          <w:szCs w:val="24"/>
          <w:lang w:val="en-US"/>
        </w:rPr>
        <w:t>. (</w:t>
      </w:r>
      <w:r w:rsidR="001C4554">
        <w:rPr>
          <w:rFonts w:ascii="Times New Roman" w:hAnsi="Times New Roman"/>
          <w:sz w:val="24"/>
          <w:szCs w:val="24"/>
          <w:lang w:val="en-US"/>
        </w:rPr>
        <w:t>The Rus</w:t>
      </w:r>
      <w:r w:rsidR="001C4554" w:rsidRPr="001C4554">
        <w:rPr>
          <w:rFonts w:ascii="Times New Roman" w:hAnsi="Times New Roman"/>
          <w:sz w:val="24"/>
          <w:szCs w:val="24"/>
          <w:lang w:val="en-US"/>
        </w:rPr>
        <w:t>.)</w:t>
      </w:r>
      <w:r w:rsidR="007252B4" w:rsidRPr="00141BED">
        <w:rPr>
          <w:rFonts w:ascii="Times New Roman" w:hAnsi="Times New Roman"/>
          <w:sz w:val="24"/>
          <w:szCs w:val="24"/>
          <w:lang w:val="en-US"/>
        </w:rPr>
        <w:t>.</w:t>
      </w:r>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2. Serreze M.C., Walsh J.E., Chapin F.S. et al. Observational evidence of recent change in the northern high-latitude environment // Climatic Change. </w:t>
      </w:r>
      <w:proofErr w:type="gramStart"/>
      <w:r w:rsidRPr="00141BED">
        <w:rPr>
          <w:rFonts w:ascii="Times New Roman" w:hAnsi="Times New Roman"/>
          <w:sz w:val="24"/>
          <w:szCs w:val="24"/>
          <w:lang w:val="en-US"/>
        </w:rPr>
        <w:t>‒ 2000.</w:t>
      </w:r>
      <w:proofErr w:type="gramEnd"/>
      <w:r w:rsidRPr="00141BED">
        <w:rPr>
          <w:rFonts w:ascii="Times New Roman" w:hAnsi="Times New Roman"/>
          <w:sz w:val="24"/>
          <w:szCs w:val="24"/>
          <w:lang w:val="en-US"/>
        </w:rPr>
        <w:t xml:space="preserve"> </w:t>
      </w:r>
      <w:proofErr w:type="gramStart"/>
      <w:r w:rsidRPr="00141BED">
        <w:rPr>
          <w:rFonts w:ascii="Times New Roman" w:hAnsi="Times New Roman"/>
          <w:sz w:val="24"/>
          <w:szCs w:val="24"/>
          <w:lang w:val="en-US"/>
        </w:rPr>
        <w:t>‒ V. 46.</w:t>
      </w:r>
      <w:proofErr w:type="gramEnd"/>
      <w:r w:rsidRPr="00141BED">
        <w:rPr>
          <w:rFonts w:ascii="Times New Roman" w:hAnsi="Times New Roman"/>
          <w:sz w:val="24"/>
          <w:szCs w:val="24"/>
          <w:lang w:val="en-US"/>
        </w:rPr>
        <w:t xml:space="preserve"> ‒ P. 159-207.</w:t>
      </w:r>
    </w:p>
    <w:p w:rsidR="007252B4" w:rsidRPr="00141BED" w:rsidRDefault="007252B4"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3. Agafonov L. I., Kukarskikh V. V. Climate change of the last century and radial increment of pine in the steppe of the southern Urals // Ecology. - 2008. </w:t>
      </w:r>
      <w:proofErr w:type="gramStart"/>
      <w:r w:rsidRPr="00141BED">
        <w:rPr>
          <w:rFonts w:ascii="Times New Roman" w:hAnsi="Times New Roman"/>
          <w:sz w:val="24"/>
          <w:szCs w:val="24"/>
          <w:lang w:val="en-US"/>
        </w:rPr>
        <w:t>- No. 3.</w:t>
      </w:r>
      <w:proofErr w:type="gramEnd"/>
      <w:r w:rsidRPr="00141BED">
        <w:rPr>
          <w:rFonts w:ascii="Times New Roman" w:hAnsi="Times New Roman"/>
          <w:sz w:val="24"/>
          <w:szCs w:val="24"/>
          <w:lang w:val="en-US"/>
        </w:rPr>
        <w:t xml:space="preserve"> – P. 173-180</w:t>
      </w:r>
      <w:r w:rsidR="001C4554" w:rsidRPr="001C4554">
        <w:rPr>
          <w:rFonts w:ascii="Times New Roman" w:hAnsi="Times New Roman"/>
          <w:sz w:val="24"/>
          <w:szCs w:val="24"/>
          <w:lang w:val="en-US"/>
        </w:rPr>
        <w:t>. (</w:t>
      </w:r>
      <w:r w:rsidR="001C4554">
        <w:rPr>
          <w:rFonts w:ascii="Times New Roman" w:hAnsi="Times New Roman"/>
          <w:sz w:val="24"/>
          <w:szCs w:val="24"/>
          <w:lang w:val="en-US"/>
        </w:rPr>
        <w:t>The Rus</w:t>
      </w:r>
      <w:r w:rsidR="001C4554" w:rsidRPr="001C4554">
        <w:rPr>
          <w:rFonts w:ascii="Times New Roman" w:hAnsi="Times New Roman"/>
          <w:sz w:val="24"/>
          <w:szCs w:val="24"/>
          <w:lang w:val="en-US"/>
        </w:rPr>
        <w:t>.)</w:t>
      </w:r>
      <w:r w:rsidR="001C4554" w:rsidRPr="00141BED">
        <w:rPr>
          <w:rFonts w:ascii="Times New Roman" w:hAnsi="Times New Roman"/>
          <w:sz w:val="24"/>
          <w:szCs w:val="24"/>
          <w:lang w:val="en-US"/>
        </w:rPr>
        <w:t>.</w:t>
      </w:r>
    </w:p>
    <w:p w:rsidR="007252B4" w:rsidRPr="001C4554" w:rsidRDefault="007252B4"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4. Gorchakovsky P. L. Shiyatov S. G. Phytoindication of environmental conditions and natural processes in the highlands. – Moscow: Science, 1985. – P. 208</w:t>
      </w:r>
      <w:r w:rsidR="001C4554" w:rsidRPr="001C4554">
        <w:rPr>
          <w:rFonts w:ascii="Times New Roman" w:hAnsi="Times New Roman"/>
          <w:sz w:val="24"/>
          <w:szCs w:val="24"/>
          <w:lang w:val="en-US"/>
        </w:rPr>
        <w:t xml:space="preserve">. </w:t>
      </w:r>
      <w:proofErr w:type="gramStart"/>
      <w:r w:rsidR="001C4554" w:rsidRPr="001C4554">
        <w:rPr>
          <w:rFonts w:ascii="Times New Roman" w:hAnsi="Times New Roman"/>
          <w:sz w:val="24"/>
          <w:szCs w:val="24"/>
          <w:lang w:val="en-US"/>
        </w:rPr>
        <w:t>(</w:t>
      </w:r>
      <w:r w:rsidR="001C4554">
        <w:rPr>
          <w:rFonts w:ascii="Times New Roman" w:hAnsi="Times New Roman"/>
          <w:sz w:val="24"/>
          <w:szCs w:val="24"/>
          <w:lang w:val="en-US"/>
        </w:rPr>
        <w:t>The Rus</w:t>
      </w:r>
      <w:r w:rsidR="001C4554" w:rsidRPr="001C4554">
        <w:rPr>
          <w:rFonts w:ascii="Times New Roman" w:hAnsi="Times New Roman"/>
          <w:sz w:val="24"/>
          <w:szCs w:val="24"/>
          <w:lang w:val="en-US"/>
        </w:rPr>
        <w:t>.)</w:t>
      </w:r>
      <w:r w:rsidR="001C4554" w:rsidRPr="00141BED">
        <w:rPr>
          <w:rFonts w:ascii="Times New Roman" w:hAnsi="Times New Roman"/>
          <w:sz w:val="24"/>
          <w:szCs w:val="24"/>
          <w:lang w:val="en-US"/>
        </w:rPr>
        <w:t>.</w:t>
      </w:r>
      <w:proofErr w:type="gramEnd"/>
    </w:p>
    <w:p w:rsidR="00A820F1" w:rsidRPr="001C4554"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5. Schweingruber F.H. Tree rings and environment. </w:t>
      </w:r>
      <w:proofErr w:type="gramStart"/>
      <w:r w:rsidRPr="00141BED">
        <w:rPr>
          <w:rFonts w:ascii="Times New Roman" w:hAnsi="Times New Roman"/>
          <w:sz w:val="24"/>
          <w:szCs w:val="24"/>
          <w:lang w:val="en-US"/>
        </w:rPr>
        <w:t>Dendroecology.</w:t>
      </w:r>
      <w:proofErr w:type="gramEnd"/>
      <w:r w:rsidRPr="00141BED">
        <w:rPr>
          <w:rFonts w:ascii="Times New Roman" w:hAnsi="Times New Roman"/>
          <w:sz w:val="24"/>
          <w:szCs w:val="24"/>
          <w:lang w:val="en-US"/>
        </w:rPr>
        <w:t xml:space="preserve"> - Bern–Stuttgart–Vienna: Paul Haupt Publishers, 1996. </w:t>
      </w:r>
      <w:proofErr w:type="gramStart"/>
      <w:r w:rsidRPr="00141BED">
        <w:rPr>
          <w:rFonts w:ascii="Times New Roman" w:hAnsi="Times New Roman"/>
          <w:sz w:val="24"/>
          <w:szCs w:val="24"/>
          <w:lang w:val="en-US"/>
        </w:rPr>
        <w:t xml:space="preserve">‒ </w:t>
      </w:r>
      <w:r w:rsidR="007252B4" w:rsidRPr="00141BED">
        <w:rPr>
          <w:rFonts w:ascii="Times New Roman" w:hAnsi="Times New Roman"/>
          <w:sz w:val="24"/>
          <w:szCs w:val="24"/>
          <w:lang w:val="en-US"/>
        </w:rPr>
        <w:t xml:space="preserve">P. </w:t>
      </w:r>
      <w:r w:rsidRPr="00141BED">
        <w:rPr>
          <w:rFonts w:ascii="Times New Roman" w:hAnsi="Times New Roman"/>
          <w:sz w:val="24"/>
          <w:szCs w:val="24"/>
          <w:lang w:val="en-US"/>
        </w:rPr>
        <w:t>609</w:t>
      </w:r>
      <w:r w:rsidR="001C4554" w:rsidRPr="001C4554">
        <w:rPr>
          <w:rFonts w:ascii="Times New Roman" w:hAnsi="Times New Roman"/>
          <w:sz w:val="24"/>
          <w:szCs w:val="24"/>
          <w:lang w:val="en-US"/>
        </w:rPr>
        <w:t>.</w:t>
      </w:r>
      <w:proofErr w:type="gramEnd"/>
      <w:r w:rsidR="001C4554" w:rsidRPr="001C4554">
        <w:rPr>
          <w:rFonts w:ascii="Times New Roman" w:hAnsi="Times New Roman"/>
          <w:sz w:val="24"/>
          <w:szCs w:val="24"/>
          <w:lang w:val="en-US"/>
        </w:rPr>
        <w:t xml:space="preserve"> </w:t>
      </w:r>
    </w:p>
    <w:p w:rsidR="0094504D" w:rsidRPr="001C4554"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6. </w:t>
      </w:r>
      <w:r w:rsidR="0094504D" w:rsidRPr="00141BED">
        <w:rPr>
          <w:rFonts w:ascii="Times New Roman" w:hAnsi="Times New Roman"/>
          <w:sz w:val="24"/>
          <w:szCs w:val="24"/>
          <w:lang w:val="en-US"/>
        </w:rPr>
        <w:t>Muratova E. N., Shiyatov S. G., Mochalov S. A. international conference "impact of climate change on boreal and temperate forests" Russia //Forest Science, 2007, No. 1, P. 74-76.</w:t>
      </w:r>
      <w:r w:rsidR="001C4554" w:rsidRPr="001C4554">
        <w:rPr>
          <w:rFonts w:ascii="Times New Roman" w:hAnsi="Times New Roman"/>
          <w:sz w:val="24"/>
          <w:szCs w:val="24"/>
          <w:lang w:val="en-US"/>
        </w:rPr>
        <w:t xml:space="preserve"> </w:t>
      </w:r>
      <w:proofErr w:type="gramStart"/>
      <w:r w:rsidR="001C4554" w:rsidRPr="001C4554">
        <w:rPr>
          <w:rFonts w:ascii="Times New Roman" w:hAnsi="Times New Roman"/>
          <w:sz w:val="24"/>
          <w:szCs w:val="24"/>
          <w:lang w:val="en-US"/>
        </w:rPr>
        <w:t>(</w:t>
      </w:r>
      <w:r w:rsidR="001C4554">
        <w:rPr>
          <w:rFonts w:ascii="Times New Roman" w:hAnsi="Times New Roman"/>
          <w:sz w:val="24"/>
          <w:szCs w:val="24"/>
          <w:lang w:val="en-US"/>
        </w:rPr>
        <w:t>The Rus</w:t>
      </w:r>
      <w:r w:rsidR="001C4554" w:rsidRPr="001C4554">
        <w:rPr>
          <w:rFonts w:ascii="Times New Roman" w:hAnsi="Times New Roman"/>
          <w:sz w:val="24"/>
          <w:szCs w:val="24"/>
          <w:lang w:val="en-US"/>
        </w:rPr>
        <w:t>.)</w:t>
      </w:r>
      <w:r w:rsidR="001C4554" w:rsidRPr="00141BED">
        <w:rPr>
          <w:rFonts w:ascii="Times New Roman" w:hAnsi="Times New Roman"/>
          <w:sz w:val="24"/>
          <w:szCs w:val="24"/>
          <w:lang w:val="en-US"/>
        </w:rPr>
        <w:t>.</w:t>
      </w:r>
      <w:proofErr w:type="gramEnd"/>
    </w:p>
    <w:p w:rsidR="0094504D" w:rsidRPr="001C4554" w:rsidRDefault="0094504D"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7. Mazepa V. S., Devi N. M. Formation of multi-stemmed life forms of Siberian larch trees in the ecotone of the upper forest boundary in the polar Urals as an indicator of climate change // Ecology. - 2007. </w:t>
      </w:r>
      <w:proofErr w:type="gramStart"/>
      <w:r w:rsidRPr="00141BED">
        <w:rPr>
          <w:rFonts w:ascii="Times New Roman" w:hAnsi="Times New Roman"/>
          <w:sz w:val="24"/>
          <w:szCs w:val="24"/>
          <w:lang w:val="en-US"/>
        </w:rPr>
        <w:t>- No. 6.</w:t>
      </w:r>
      <w:proofErr w:type="gramEnd"/>
      <w:r w:rsidRPr="00141BED">
        <w:rPr>
          <w:rFonts w:ascii="Times New Roman" w:hAnsi="Times New Roman"/>
          <w:sz w:val="24"/>
          <w:szCs w:val="24"/>
          <w:lang w:val="en-US"/>
        </w:rPr>
        <w:t xml:space="preserve"> – P. 471-475.</w:t>
      </w:r>
      <w:r w:rsidR="001C4554" w:rsidRPr="001C4554">
        <w:rPr>
          <w:rFonts w:ascii="Times New Roman" w:hAnsi="Times New Roman"/>
          <w:sz w:val="24"/>
          <w:szCs w:val="24"/>
          <w:lang w:val="en-US"/>
        </w:rPr>
        <w:t xml:space="preserve"> </w:t>
      </w:r>
      <w:proofErr w:type="gramStart"/>
      <w:r w:rsidR="007E70A7" w:rsidRPr="001C4554">
        <w:rPr>
          <w:rFonts w:ascii="Times New Roman" w:hAnsi="Times New Roman"/>
          <w:sz w:val="24"/>
          <w:szCs w:val="24"/>
          <w:lang w:val="en-US"/>
        </w:rPr>
        <w:t>(</w:t>
      </w:r>
      <w:r w:rsidR="007E70A7">
        <w:rPr>
          <w:rFonts w:ascii="Times New Roman" w:hAnsi="Times New Roman"/>
          <w:sz w:val="24"/>
          <w:szCs w:val="24"/>
          <w:lang w:val="en-US"/>
        </w:rPr>
        <w:t>The Rus</w:t>
      </w:r>
      <w:r w:rsidR="007E70A7" w:rsidRPr="001C4554">
        <w:rPr>
          <w:rFonts w:ascii="Times New Roman" w:hAnsi="Times New Roman"/>
          <w:sz w:val="24"/>
          <w:szCs w:val="24"/>
          <w:lang w:val="en-US"/>
        </w:rPr>
        <w:t>.)</w:t>
      </w:r>
      <w:r w:rsidR="007E70A7" w:rsidRPr="00141BED">
        <w:rPr>
          <w:rFonts w:ascii="Times New Roman" w:hAnsi="Times New Roman"/>
          <w:sz w:val="24"/>
          <w:szCs w:val="24"/>
          <w:lang w:val="en-US"/>
        </w:rPr>
        <w:t>.</w:t>
      </w:r>
      <w:proofErr w:type="gramEnd"/>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8. Growth Trends in European Forests. Studies from 12 Countries / Eds. Spiecker H. et al. Berlin, Heidelberg, New York: Springer-Verlag. </w:t>
      </w:r>
      <w:proofErr w:type="gramStart"/>
      <w:r w:rsidRPr="00141BED">
        <w:rPr>
          <w:rFonts w:ascii="Times New Roman" w:hAnsi="Times New Roman"/>
          <w:sz w:val="24"/>
          <w:szCs w:val="24"/>
          <w:lang w:val="en-US"/>
        </w:rPr>
        <w:t>‒ 1996.‒ 372 p.</w:t>
      </w:r>
      <w:proofErr w:type="gramEnd"/>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9. Holtmeier F.-K.Mountain Timberlines.Ecology, Patchiness, and Dynamics / F.-K.Holtmeier.‒ Dordrecht, Boston, London: Kluwer Academic Publishers. </w:t>
      </w:r>
      <w:proofErr w:type="gramStart"/>
      <w:r w:rsidRPr="00141BED">
        <w:rPr>
          <w:rFonts w:ascii="Times New Roman" w:hAnsi="Times New Roman"/>
          <w:sz w:val="24"/>
          <w:szCs w:val="24"/>
          <w:lang w:val="en-US"/>
        </w:rPr>
        <w:t>‒ 2003.‒ 369 p.</w:t>
      </w:r>
      <w:proofErr w:type="gramEnd"/>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10. Kullman L. Dynamics of altitudinal tree-limits in Swiden: a review / L.Kullman// Nor. Geogr. </w:t>
      </w:r>
      <w:proofErr w:type="gramStart"/>
      <w:r w:rsidRPr="00141BED">
        <w:rPr>
          <w:rFonts w:ascii="Times New Roman" w:hAnsi="Times New Roman"/>
          <w:sz w:val="24"/>
          <w:szCs w:val="24"/>
          <w:lang w:val="en-US"/>
        </w:rPr>
        <w:t>Tidsskr.‒ 1990.‒ V. 44.</w:t>
      </w:r>
      <w:proofErr w:type="gramEnd"/>
      <w:r w:rsidRPr="00141BED">
        <w:rPr>
          <w:rFonts w:ascii="Times New Roman" w:hAnsi="Times New Roman"/>
          <w:sz w:val="24"/>
          <w:szCs w:val="24"/>
          <w:lang w:val="en-US"/>
        </w:rPr>
        <w:t xml:space="preserve"> ‒ P. 103-116.</w:t>
      </w:r>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11. Shiyatov S.G. Reconstruction of climate and the upper timberline dynamics since AD 745 by tree-ring data in the Polar Ural Mountains // International Conference on Past, Present and Future Climate / S.G. Shiyatov // Ed. HenkinheimoPirk-ko. Painatuskeskus: Publication of the Academy of Fin-land. ‒ 1995.‒ V. 6/95. ‒ P. 144-147.</w:t>
      </w:r>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12. Korner Ch. Alpine Plant Life / Ch. Korner.‒Berlin, Heidelberg: Springer-Verlag. </w:t>
      </w:r>
      <w:proofErr w:type="gramStart"/>
      <w:r w:rsidRPr="00141BED">
        <w:rPr>
          <w:rFonts w:ascii="Times New Roman" w:hAnsi="Times New Roman"/>
          <w:sz w:val="24"/>
          <w:szCs w:val="24"/>
          <w:lang w:val="en-US"/>
        </w:rPr>
        <w:t>‒ 1999.‒ 343 p.</w:t>
      </w:r>
      <w:proofErr w:type="gramEnd"/>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13. Breshears D.D.Regional vegetation die-off in response to global-change-type drought / D.D. Breshears, N.S. Cobb, P.M. Rich et al. // Proc. National Acad. Sci. USA. </w:t>
      </w:r>
      <w:proofErr w:type="gramStart"/>
      <w:r w:rsidRPr="00141BED">
        <w:rPr>
          <w:rFonts w:ascii="Times New Roman" w:hAnsi="Times New Roman"/>
          <w:sz w:val="24"/>
          <w:szCs w:val="24"/>
          <w:lang w:val="en-US"/>
        </w:rPr>
        <w:t>‒ 2005.</w:t>
      </w:r>
      <w:proofErr w:type="gramEnd"/>
      <w:r w:rsidRPr="00141BED">
        <w:rPr>
          <w:rFonts w:ascii="Times New Roman" w:hAnsi="Times New Roman"/>
          <w:sz w:val="24"/>
          <w:szCs w:val="24"/>
          <w:lang w:val="en-US"/>
        </w:rPr>
        <w:t xml:space="preserve"> V. 102. </w:t>
      </w:r>
      <w:proofErr w:type="gramStart"/>
      <w:r w:rsidRPr="00141BED">
        <w:rPr>
          <w:rFonts w:ascii="Times New Roman" w:hAnsi="Times New Roman"/>
          <w:sz w:val="24"/>
          <w:szCs w:val="24"/>
          <w:lang w:val="en-US"/>
        </w:rPr>
        <w:t>‒ № 42.‒ P.15144–15148.</w:t>
      </w:r>
      <w:proofErr w:type="gramEnd"/>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lastRenderedPageBreak/>
        <w:t xml:space="preserve">14. Mazepa V.S. Stand density in the last millennium at the upper tree-line ecotone in the Polar Ural Mountains // Can. J. For. </w:t>
      </w:r>
      <w:proofErr w:type="gramStart"/>
      <w:r w:rsidRPr="00141BED">
        <w:rPr>
          <w:rFonts w:ascii="Times New Roman" w:hAnsi="Times New Roman"/>
          <w:sz w:val="24"/>
          <w:szCs w:val="24"/>
          <w:lang w:val="en-US"/>
        </w:rPr>
        <w:t>Res. ‒ 2005.‒ V. 35.</w:t>
      </w:r>
      <w:proofErr w:type="gramEnd"/>
      <w:r w:rsidRPr="00141BED">
        <w:rPr>
          <w:rFonts w:ascii="Times New Roman" w:hAnsi="Times New Roman"/>
          <w:sz w:val="24"/>
          <w:szCs w:val="24"/>
          <w:lang w:val="en-US"/>
        </w:rPr>
        <w:t xml:space="preserve"> ‒ P. 2082-2091.</w:t>
      </w:r>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15. Sivakumar M.V.K.Impacts of present and future climate variability and change on agriculture and forestry in the arid and semi-arid tropics /M.V.K. Sivakumar, H.P. Das, O. Brunini// Climatic Change. </w:t>
      </w:r>
      <w:proofErr w:type="gramStart"/>
      <w:r w:rsidRPr="00141BED">
        <w:rPr>
          <w:rFonts w:ascii="Times New Roman" w:hAnsi="Times New Roman"/>
          <w:sz w:val="24"/>
          <w:szCs w:val="24"/>
          <w:lang w:val="en-US"/>
        </w:rPr>
        <w:t>‒ 2005.</w:t>
      </w:r>
      <w:proofErr w:type="gramEnd"/>
      <w:r w:rsidRPr="00141BED">
        <w:rPr>
          <w:rFonts w:ascii="Times New Roman" w:hAnsi="Times New Roman"/>
          <w:sz w:val="24"/>
          <w:szCs w:val="24"/>
          <w:lang w:val="en-US"/>
        </w:rPr>
        <w:t xml:space="preserve"> </w:t>
      </w:r>
      <w:proofErr w:type="gramStart"/>
      <w:r w:rsidRPr="00141BED">
        <w:rPr>
          <w:rFonts w:ascii="Times New Roman" w:hAnsi="Times New Roman"/>
          <w:sz w:val="24"/>
          <w:szCs w:val="24"/>
          <w:lang w:val="en-US"/>
        </w:rPr>
        <w:t>‒ V. 70.</w:t>
      </w:r>
      <w:proofErr w:type="gramEnd"/>
      <w:r w:rsidRPr="00141BED">
        <w:rPr>
          <w:rFonts w:ascii="Times New Roman" w:hAnsi="Times New Roman"/>
          <w:sz w:val="24"/>
          <w:szCs w:val="24"/>
          <w:lang w:val="en-US"/>
        </w:rPr>
        <w:t xml:space="preserve"> </w:t>
      </w:r>
      <w:proofErr w:type="gramStart"/>
      <w:r w:rsidRPr="00141BED">
        <w:rPr>
          <w:rFonts w:ascii="Times New Roman" w:hAnsi="Times New Roman"/>
          <w:sz w:val="24"/>
          <w:szCs w:val="24"/>
          <w:lang w:val="en-US"/>
        </w:rPr>
        <w:t>‒ №1-2.</w:t>
      </w:r>
      <w:proofErr w:type="gramEnd"/>
      <w:r w:rsidRPr="00141BED">
        <w:rPr>
          <w:rFonts w:ascii="Times New Roman" w:hAnsi="Times New Roman"/>
          <w:sz w:val="24"/>
          <w:szCs w:val="24"/>
          <w:lang w:val="en-US"/>
        </w:rPr>
        <w:t xml:space="preserve"> ‒ P. 31-72.</w:t>
      </w:r>
    </w:p>
    <w:p w:rsidR="0094504D" w:rsidRPr="00C85AED" w:rsidRDefault="0094504D"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16. Khantemirov R. M., Surkov A. Yu., Gorlanova L. A. climate change and the formation of age-related generations of larch on the polar border of the Yamal forest // Ecology. - 2008. </w:t>
      </w:r>
      <w:proofErr w:type="gramStart"/>
      <w:r w:rsidRPr="00141BED">
        <w:rPr>
          <w:rFonts w:ascii="Times New Roman" w:hAnsi="Times New Roman"/>
          <w:sz w:val="24"/>
          <w:szCs w:val="24"/>
          <w:lang w:val="en-US"/>
        </w:rPr>
        <w:t>- No. 5.</w:t>
      </w:r>
      <w:proofErr w:type="gramEnd"/>
      <w:r w:rsidRPr="00141BED">
        <w:rPr>
          <w:rFonts w:ascii="Times New Roman" w:hAnsi="Times New Roman"/>
          <w:sz w:val="24"/>
          <w:szCs w:val="24"/>
          <w:lang w:val="en-US"/>
        </w:rPr>
        <w:t xml:space="preserve"> – P. 323-328.</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A820F1" w:rsidRPr="00141B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17. Huss J. Durchforstungen in Kiefernjungbeständen // Forstwissenschaftliches Centralblatt. - 1983. </w:t>
      </w:r>
      <w:proofErr w:type="gramStart"/>
      <w:r w:rsidRPr="00141BED">
        <w:rPr>
          <w:rFonts w:ascii="Times New Roman" w:hAnsi="Times New Roman"/>
          <w:sz w:val="24"/>
          <w:szCs w:val="24"/>
          <w:lang w:val="en-US"/>
        </w:rPr>
        <w:t>‒ Vol. 102.</w:t>
      </w:r>
      <w:proofErr w:type="gramEnd"/>
      <w:r w:rsidRPr="00141BED">
        <w:rPr>
          <w:rFonts w:ascii="Times New Roman" w:hAnsi="Times New Roman"/>
          <w:sz w:val="24"/>
          <w:szCs w:val="24"/>
          <w:lang w:val="en-US"/>
        </w:rPr>
        <w:t xml:space="preserve"> ‒ </w:t>
      </w:r>
      <w:r w:rsidRPr="00141BED">
        <w:rPr>
          <w:rFonts w:ascii="Times New Roman" w:hAnsi="Times New Roman"/>
          <w:sz w:val="24"/>
          <w:szCs w:val="24"/>
        </w:rPr>
        <w:t>Р</w:t>
      </w:r>
      <w:r w:rsidRPr="00141BED">
        <w:rPr>
          <w:rFonts w:ascii="Times New Roman" w:hAnsi="Times New Roman"/>
          <w:sz w:val="24"/>
          <w:szCs w:val="24"/>
          <w:lang w:val="en-US"/>
        </w:rPr>
        <w:t xml:space="preserve">. 1-17. </w:t>
      </w:r>
    </w:p>
    <w:p w:rsidR="005756E0" w:rsidRPr="00C85A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18. </w:t>
      </w:r>
      <w:r w:rsidR="005756E0" w:rsidRPr="00141BED">
        <w:rPr>
          <w:rFonts w:ascii="Times New Roman" w:hAnsi="Times New Roman"/>
          <w:sz w:val="24"/>
          <w:szCs w:val="24"/>
          <w:lang w:val="en-US"/>
        </w:rPr>
        <w:t>Tikhonov A. S., Savchenko S. S. Theory and practice of felling. Petrozavodsk: Karelia, 1990, - P. 224</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5756E0" w:rsidRPr="00C85AED" w:rsidRDefault="005756E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19. Terinov N. I., Kulikov G. M. tending felling in the forests of the Urals (practical recommendations). - Sverdlovsk: Ural branch of the USSR Academy of Sciences, 1991. </w:t>
      </w:r>
      <w:proofErr w:type="gramStart"/>
      <w:r w:rsidRPr="00141BED">
        <w:rPr>
          <w:rFonts w:ascii="Times New Roman" w:hAnsi="Times New Roman"/>
          <w:sz w:val="24"/>
          <w:szCs w:val="24"/>
          <w:lang w:val="en-US"/>
        </w:rPr>
        <w:t>‒ P. 88</w:t>
      </w:r>
      <w:r w:rsidR="00C85AED" w:rsidRPr="00C85AED">
        <w:rPr>
          <w:rFonts w:ascii="Times New Roman" w:hAnsi="Times New Roman"/>
          <w:sz w:val="24"/>
          <w:szCs w:val="24"/>
          <w:lang w:val="en-US"/>
        </w:rPr>
        <w:t>.</w:t>
      </w:r>
      <w:proofErr w:type="gramEnd"/>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5756E0" w:rsidRPr="00907B5F" w:rsidRDefault="005756E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20. Terinov N. I., Kulikov G. M. Essay on the history of tending felling behind the forest. ‒ Yekaterinburg: Ural forests and their economy, 1993. </w:t>
      </w:r>
      <w:proofErr w:type="gramStart"/>
      <w:r w:rsidRPr="00141BED">
        <w:rPr>
          <w:rFonts w:ascii="Times New Roman" w:hAnsi="Times New Roman"/>
          <w:sz w:val="24"/>
          <w:szCs w:val="24"/>
          <w:lang w:val="en-US"/>
        </w:rPr>
        <w:t>‒ No. 16.</w:t>
      </w:r>
      <w:proofErr w:type="gramEnd"/>
      <w:r w:rsidRPr="00141BED">
        <w:rPr>
          <w:rFonts w:ascii="Times New Roman" w:hAnsi="Times New Roman"/>
          <w:sz w:val="24"/>
          <w:szCs w:val="24"/>
          <w:lang w:val="en-US"/>
        </w:rPr>
        <w:t xml:space="preserve"> ‒ P. 4-15.</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5756E0" w:rsidRPr="00C85AED" w:rsidRDefault="005756E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21. Lugansky N. A., Zalesov S. V., Terinov N. I., Shchavrovsky V. A. Tending felling: Textbook. – Yekaterinburg: UFTI, 1993. </w:t>
      </w:r>
      <w:proofErr w:type="gramStart"/>
      <w:r w:rsidRPr="00141BED">
        <w:rPr>
          <w:rFonts w:ascii="Times New Roman" w:hAnsi="Times New Roman"/>
          <w:sz w:val="24"/>
          <w:szCs w:val="24"/>
          <w:lang w:val="en-US"/>
        </w:rPr>
        <w:t>‒ P. 112</w:t>
      </w:r>
      <w:r w:rsidR="00C85AED" w:rsidRPr="00C85AED">
        <w:rPr>
          <w:rFonts w:ascii="Times New Roman" w:hAnsi="Times New Roman"/>
          <w:sz w:val="24"/>
          <w:szCs w:val="24"/>
          <w:lang w:val="en-US"/>
        </w:rPr>
        <w:t>.</w:t>
      </w:r>
      <w:proofErr w:type="gramEnd"/>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5756E0" w:rsidRPr="00907B5F" w:rsidRDefault="005756E0"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22. Onuchin A. A., Markova I. I., Pavlov I. N. Influence of tending felling on radial increment of tree stems and formation of young pine trees // coniferous boreal zones. - 2011. ‒ No. 3-4. – P. 257-265.</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763494" w:rsidRPr="00907B5F"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23. </w:t>
      </w:r>
      <w:r w:rsidR="00763494" w:rsidRPr="00141BED">
        <w:rPr>
          <w:rFonts w:ascii="Times New Roman" w:hAnsi="Times New Roman"/>
          <w:sz w:val="24"/>
          <w:szCs w:val="24"/>
          <w:lang w:val="en-US"/>
        </w:rPr>
        <w:t xml:space="preserve">Malyshev V. V. Optimization of tending felling modes in pine plantations // Actual directions of scientific research of the XXI century: theory and practice. - 2013. </w:t>
      </w:r>
      <w:proofErr w:type="gramStart"/>
      <w:r w:rsidR="00763494" w:rsidRPr="00141BED">
        <w:rPr>
          <w:rFonts w:ascii="Times New Roman" w:hAnsi="Times New Roman"/>
          <w:sz w:val="24"/>
          <w:szCs w:val="24"/>
          <w:lang w:val="en-US"/>
        </w:rPr>
        <w:t>‒ No. 4.</w:t>
      </w:r>
      <w:proofErr w:type="gramEnd"/>
      <w:r w:rsidR="00763494" w:rsidRPr="00141BED">
        <w:rPr>
          <w:rFonts w:ascii="Times New Roman" w:hAnsi="Times New Roman"/>
          <w:sz w:val="24"/>
          <w:szCs w:val="24"/>
          <w:lang w:val="en-US"/>
        </w:rPr>
        <w:t xml:space="preserve"> ‒ P. 36-41.</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763494" w:rsidRPr="00907B5F" w:rsidRDefault="00763494"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24. Levkovskaya M. V., Sarnatsky V. V. Assessment of the state of mossy pine forests after tending felling in Belarus // Actual problems of the forest complex. - 2015. </w:t>
      </w:r>
      <w:proofErr w:type="gramStart"/>
      <w:r w:rsidRPr="00141BED">
        <w:rPr>
          <w:rFonts w:ascii="Times New Roman" w:hAnsi="Times New Roman"/>
          <w:sz w:val="24"/>
          <w:szCs w:val="24"/>
          <w:lang w:val="en-US"/>
        </w:rPr>
        <w:t>‒ No. 41.</w:t>
      </w:r>
      <w:proofErr w:type="gramEnd"/>
      <w:r w:rsidRPr="00141BED">
        <w:rPr>
          <w:rFonts w:ascii="Times New Roman" w:hAnsi="Times New Roman"/>
          <w:sz w:val="24"/>
          <w:szCs w:val="24"/>
          <w:lang w:val="en-US"/>
        </w:rPr>
        <w:t xml:space="preserve"> ‒ P. 50-53.</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763494" w:rsidRPr="00907B5F" w:rsidRDefault="00763494"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25. Chibisov G. A., Minin N. S. Growth of pine forests under the influence of tending felling 40 years ago // Lesnoy Zhurnal</w:t>
      </w:r>
      <w:r w:rsidR="00252013" w:rsidRPr="00141BED">
        <w:rPr>
          <w:rFonts w:ascii="Times New Roman" w:hAnsi="Times New Roman"/>
          <w:sz w:val="24"/>
          <w:szCs w:val="24"/>
          <w:lang w:val="en-US"/>
        </w:rPr>
        <w:t xml:space="preserve"> (</w:t>
      </w:r>
      <w:r w:rsidR="004D164F" w:rsidRPr="00141BED">
        <w:rPr>
          <w:rFonts w:ascii="Times New Roman" w:hAnsi="Times New Roman"/>
          <w:sz w:val="24"/>
          <w:szCs w:val="24"/>
          <w:lang w:val="en-US"/>
        </w:rPr>
        <w:t>F</w:t>
      </w:r>
      <w:r w:rsidR="00252013" w:rsidRPr="00141BED">
        <w:rPr>
          <w:rFonts w:ascii="Times New Roman" w:hAnsi="Times New Roman"/>
          <w:sz w:val="24"/>
          <w:szCs w:val="24"/>
          <w:lang w:val="en-US"/>
        </w:rPr>
        <w:t xml:space="preserve">orest </w:t>
      </w:r>
      <w:r w:rsidR="004D164F" w:rsidRPr="00141BED">
        <w:rPr>
          <w:rFonts w:ascii="Times New Roman" w:hAnsi="Times New Roman"/>
          <w:sz w:val="24"/>
          <w:szCs w:val="24"/>
          <w:lang w:val="en-US"/>
        </w:rPr>
        <w:t>Journal</w:t>
      </w:r>
      <w:r w:rsidR="00252013" w:rsidRPr="00141BED">
        <w:rPr>
          <w:rFonts w:ascii="Times New Roman" w:hAnsi="Times New Roman"/>
          <w:sz w:val="24"/>
          <w:szCs w:val="24"/>
          <w:lang w:val="en-US"/>
        </w:rPr>
        <w:t>)</w:t>
      </w:r>
      <w:r w:rsidRPr="00141BED">
        <w:rPr>
          <w:rFonts w:ascii="Times New Roman" w:hAnsi="Times New Roman"/>
          <w:sz w:val="24"/>
          <w:szCs w:val="24"/>
          <w:lang w:val="en-US"/>
        </w:rPr>
        <w:t xml:space="preserve">. - 2004. </w:t>
      </w:r>
      <w:proofErr w:type="gramStart"/>
      <w:r w:rsidRPr="00141BED">
        <w:rPr>
          <w:rFonts w:ascii="Times New Roman" w:hAnsi="Times New Roman"/>
          <w:sz w:val="24"/>
          <w:szCs w:val="24"/>
          <w:lang w:val="en-US"/>
        </w:rPr>
        <w:t>‒ No. 3.</w:t>
      </w:r>
      <w:proofErr w:type="gramEnd"/>
      <w:r w:rsidRPr="00141BED">
        <w:rPr>
          <w:rFonts w:ascii="Times New Roman" w:hAnsi="Times New Roman"/>
          <w:sz w:val="24"/>
          <w:szCs w:val="24"/>
          <w:lang w:val="en-US"/>
        </w:rPr>
        <w:t xml:space="preserve"> – P. 10-14.</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252013" w:rsidRPr="00907B5F"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26. </w:t>
      </w:r>
      <w:r w:rsidR="00252013" w:rsidRPr="00141BED">
        <w:rPr>
          <w:rFonts w:ascii="Times New Roman" w:hAnsi="Times New Roman"/>
          <w:sz w:val="24"/>
          <w:szCs w:val="24"/>
          <w:lang w:val="en-US"/>
        </w:rPr>
        <w:t xml:space="preserve">Buzykin A. I., Pshenichnikova L. S. Reaction of middle-aged pine forests to tending felling // Lesnoy Zhurnal. - 2009. </w:t>
      </w:r>
      <w:proofErr w:type="gramStart"/>
      <w:r w:rsidR="00252013" w:rsidRPr="00141BED">
        <w:rPr>
          <w:rFonts w:ascii="Times New Roman" w:hAnsi="Times New Roman"/>
          <w:sz w:val="24"/>
          <w:szCs w:val="24"/>
          <w:lang w:val="en-US"/>
        </w:rPr>
        <w:t>‒ No. 1.</w:t>
      </w:r>
      <w:proofErr w:type="gramEnd"/>
      <w:r w:rsidR="00252013" w:rsidRPr="00141BED">
        <w:rPr>
          <w:rFonts w:ascii="Times New Roman" w:hAnsi="Times New Roman"/>
          <w:sz w:val="24"/>
          <w:szCs w:val="24"/>
          <w:lang w:val="en-US"/>
        </w:rPr>
        <w:t xml:space="preserve"> – P. 28-33.</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252013" w:rsidRPr="00C85AED" w:rsidRDefault="00252013"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lastRenderedPageBreak/>
        <w:t xml:space="preserve">27. Minin N. S., Zakharov A. Yu. Growth of artificial pine forests under the influence of tending felling // Scientific notes of Petrozavodsk state University. - 2013. </w:t>
      </w:r>
      <w:proofErr w:type="gramStart"/>
      <w:r w:rsidRPr="00141BED">
        <w:rPr>
          <w:rFonts w:ascii="Times New Roman" w:hAnsi="Times New Roman"/>
          <w:sz w:val="24"/>
          <w:szCs w:val="24"/>
          <w:lang w:val="en-US"/>
        </w:rPr>
        <w:t>– No. 6.</w:t>
      </w:r>
      <w:proofErr w:type="gramEnd"/>
      <w:r w:rsidRPr="00141BED">
        <w:rPr>
          <w:rFonts w:ascii="Times New Roman" w:hAnsi="Times New Roman"/>
          <w:sz w:val="24"/>
          <w:szCs w:val="24"/>
          <w:lang w:val="en-US"/>
        </w:rPr>
        <w:t xml:space="preserve"> – P. 60-64.</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27E6E" w:rsidRPr="00907B5F"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28. Wu L., Liu J., Takashima A., Ishigaki K., Watanabe Sh. Effect of selective logging on stand structure and tree species diversity in a subtropical evergreen broad-leaved forest // Annals of Forest Science, 2013. </w:t>
      </w:r>
      <w:proofErr w:type="gramStart"/>
      <w:r w:rsidRPr="00141BED">
        <w:rPr>
          <w:rFonts w:ascii="Times New Roman" w:hAnsi="Times New Roman"/>
          <w:sz w:val="24"/>
          <w:szCs w:val="24"/>
          <w:lang w:val="en-US"/>
        </w:rPr>
        <w:t>‒ Vol. 70, № 5.</w:t>
      </w:r>
      <w:proofErr w:type="gramEnd"/>
      <w:r w:rsidRPr="00141BED">
        <w:rPr>
          <w:rFonts w:ascii="Times New Roman" w:hAnsi="Times New Roman"/>
          <w:sz w:val="24"/>
          <w:szCs w:val="24"/>
          <w:lang w:val="en-US"/>
        </w:rPr>
        <w:t xml:space="preserve"> – </w:t>
      </w:r>
      <w:proofErr w:type="gramStart"/>
      <w:r w:rsidRPr="00141BED">
        <w:rPr>
          <w:rFonts w:ascii="Times New Roman" w:hAnsi="Times New Roman"/>
          <w:sz w:val="24"/>
          <w:szCs w:val="24"/>
        </w:rPr>
        <w:t>Р</w:t>
      </w:r>
      <w:r w:rsidRPr="00141BED">
        <w:rPr>
          <w:rFonts w:ascii="Times New Roman" w:hAnsi="Times New Roman"/>
          <w:sz w:val="24"/>
          <w:szCs w:val="24"/>
          <w:lang w:val="en-US"/>
        </w:rPr>
        <w:t>. 535</w:t>
      </w:r>
      <w:proofErr w:type="gramEnd"/>
      <w:r w:rsidRPr="00141BED">
        <w:rPr>
          <w:rFonts w:ascii="Times New Roman" w:hAnsi="Times New Roman"/>
          <w:sz w:val="24"/>
          <w:szCs w:val="24"/>
          <w:lang w:val="en-US"/>
        </w:rPr>
        <w:t>-543.</w:t>
      </w:r>
      <w:r w:rsidR="00C85AED" w:rsidRPr="00907B5F">
        <w:rPr>
          <w:rFonts w:ascii="Times New Roman" w:hAnsi="Times New Roman"/>
          <w:sz w:val="24"/>
          <w:szCs w:val="24"/>
          <w:lang w:val="en-US"/>
        </w:rPr>
        <w:t xml:space="preserve"> </w:t>
      </w:r>
    </w:p>
    <w:p w:rsidR="00252013" w:rsidRPr="00907B5F" w:rsidRDefault="00252013"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29. Danilov D. A., Belyaeva N. V., Kovalev N. V. Influence of tending felling on the growth and commodity structure of mixed stands of pine and spruce of the acidic forest type // Forest engineering journal. - 2014. ‒ No. 2</w:t>
      </w:r>
      <w:proofErr w:type="gramStart"/>
      <w:r w:rsidRPr="00141BED">
        <w:rPr>
          <w:rFonts w:ascii="Times New Roman" w:hAnsi="Times New Roman"/>
          <w:sz w:val="24"/>
          <w:szCs w:val="24"/>
          <w:lang w:val="en-US"/>
        </w:rPr>
        <w:t>.–</w:t>
      </w:r>
      <w:proofErr w:type="gramEnd"/>
      <w:r w:rsidRPr="00141BED">
        <w:rPr>
          <w:rFonts w:ascii="Times New Roman" w:hAnsi="Times New Roman"/>
          <w:sz w:val="24"/>
          <w:szCs w:val="24"/>
          <w:lang w:val="en-US"/>
        </w:rPr>
        <w:t xml:space="preserve"> P. 31-36.</w:t>
      </w:r>
      <w:r w:rsidR="00C85AED">
        <w:rPr>
          <w:rFonts w:ascii="Times New Roman" w:hAnsi="Times New Roman"/>
          <w:sz w:val="24"/>
          <w:szCs w:val="24"/>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655966" w:rsidRPr="00907B5F"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30. </w:t>
      </w:r>
      <w:r w:rsidR="00655966" w:rsidRPr="00141BED">
        <w:rPr>
          <w:rFonts w:ascii="Times New Roman" w:hAnsi="Times New Roman"/>
          <w:sz w:val="24"/>
          <w:szCs w:val="24"/>
          <w:lang w:val="en-US"/>
        </w:rPr>
        <w:t xml:space="preserve">Melnikov E. S., Belyaeva N. V. Dynamics of current increment in pine and spruce stands after complex forest care // Lesnoy Zhurnal (Forest </w:t>
      </w:r>
      <w:r w:rsidR="004D164F" w:rsidRPr="00141BED">
        <w:rPr>
          <w:rFonts w:ascii="Times New Roman" w:hAnsi="Times New Roman"/>
          <w:sz w:val="24"/>
          <w:szCs w:val="24"/>
          <w:lang w:val="en-US"/>
        </w:rPr>
        <w:t>Journal</w:t>
      </w:r>
      <w:r w:rsidR="00655966" w:rsidRPr="00141BED">
        <w:rPr>
          <w:rFonts w:ascii="Times New Roman" w:hAnsi="Times New Roman"/>
          <w:sz w:val="24"/>
          <w:szCs w:val="24"/>
          <w:lang w:val="en-US"/>
        </w:rPr>
        <w:t xml:space="preserve">). - 2008. </w:t>
      </w:r>
      <w:proofErr w:type="gramStart"/>
      <w:r w:rsidR="00655966" w:rsidRPr="00141BED">
        <w:rPr>
          <w:rFonts w:ascii="Times New Roman" w:hAnsi="Times New Roman"/>
          <w:sz w:val="24"/>
          <w:szCs w:val="24"/>
          <w:lang w:val="en-US"/>
        </w:rPr>
        <w:t xml:space="preserve">‒ </w:t>
      </w:r>
      <w:r w:rsidR="00C85AED" w:rsidRPr="00141BED">
        <w:rPr>
          <w:rFonts w:ascii="Times New Roman" w:hAnsi="Times New Roman"/>
          <w:sz w:val="24"/>
          <w:szCs w:val="24"/>
          <w:lang w:val="en-US"/>
        </w:rPr>
        <w:t>No</w:t>
      </w:r>
      <w:r w:rsidR="00655966" w:rsidRPr="00141BED">
        <w:rPr>
          <w:rFonts w:ascii="Times New Roman" w:hAnsi="Times New Roman"/>
          <w:sz w:val="24"/>
          <w:szCs w:val="24"/>
          <w:lang w:val="en-US"/>
        </w:rPr>
        <w:t>. 1.</w:t>
      </w:r>
      <w:proofErr w:type="gramEnd"/>
      <w:r w:rsidR="00655966" w:rsidRPr="00141BED">
        <w:rPr>
          <w:rFonts w:ascii="Times New Roman" w:hAnsi="Times New Roman"/>
          <w:sz w:val="24"/>
          <w:szCs w:val="24"/>
          <w:lang w:val="en-US"/>
        </w:rPr>
        <w:t xml:space="preserve"> – P. 56-64.</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655966" w:rsidRPr="00907B5F" w:rsidRDefault="0065596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31. Kozlov V. A., Kisternaya M. V., Neronova Ya. A. influence of forestry measures on the density and chemical composition of ordinary pine wood // Lesnoy Zhurnal. - 2009. </w:t>
      </w:r>
      <w:proofErr w:type="gramStart"/>
      <w:r w:rsidRPr="00141BED">
        <w:rPr>
          <w:rFonts w:ascii="Times New Roman" w:hAnsi="Times New Roman"/>
          <w:sz w:val="24"/>
          <w:szCs w:val="24"/>
          <w:lang w:val="en-US"/>
        </w:rPr>
        <w:t>‒ No. 6.</w:t>
      </w:r>
      <w:proofErr w:type="gramEnd"/>
      <w:r w:rsidRPr="00141BED">
        <w:rPr>
          <w:rFonts w:ascii="Times New Roman" w:hAnsi="Times New Roman"/>
          <w:sz w:val="24"/>
          <w:szCs w:val="24"/>
          <w:lang w:val="en-US"/>
        </w:rPr>
        <w:t xml:space="preserve"> – P. 7-13.</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655966" w:rsidRPr="00907B5F" w:rsidRDefault="0065596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32. Zarubina L. V. Structure and shape of the pine crown in a drained shrub-sphagnum pine under different light conditions // Dairy Bulletin. - 2014. </w:t>
      </w:r>
      <w:proofErr w:type="gramStart"/>
      <w:r w:rsidRPr="00141BED">
        <w:rPr>
          <w:rFonts w:ascii="Times New Roman" w:hAnsi="Times New Roman"/>
          <w:sz w:val="24"/>
          <w:szCs w:val="24"/>
          <w:lang w:val="en-US"/>
        </w:rPr>
        <w:t xml:space="preserve">‒ </w:t>
      </w:r>
      <w:r w:rsidR="00C85AED" w:rsidRPr="00141BED">
        <w:rPr>
          <w:rFonts w:ascii="Times New Roman" w:hAnsi="Times New Roman"/>
          <w:sz w:val="24"/>
          <w:szCs w:val="24"/>
          <w:lang w:val="en-US"/>
        </w:rPr>
        <w:t>No</w:t>
      </w:r>
      <w:r w:rsidR="00C85AED" w:rsidRPr="00907B5F">
        <w:rPr>
          <w:rFonts w:ascii="Times New Roman" w:hAnsi="Times New Roman"/>
          <w:sz w:val="24"/>
          <w:szCs w:val="24"/>
          <w:lang w:val="en-US"/>
        </w:rPr>
        <w:t xml:space="preserve"> </w:t>
      </w:r>
      <w:r w:rsidRPr="00141BED">
        <w:rPr>
          <w:rFonts w:ascii="Times New Roman" w:hAnsi="Times New Roman"/>
          <w:sz w:val="24"/>
          <w:szCs w:val="24"/>
          <w:lang w:val="en-US"/>
        </w:rPr>
        <w:t>13.</w:t>
      </w:r>
      <w:proofErr w:type="gramEnd"/>
      <w:r w:rsidRPr="00141BED">
        <w:rPr>
          <w:rFonts w:ascii="Times New Roman" w:hAnsi="Times New Roman"/>
          <w:sz w:val="24"/>
          <w:szCs w:val="24"/>
          <w:lang w:val="en-US"/>
        </w:rPr>
        <w:t xml:space="preserve"> – P. 20-26.</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33. Vincent M., Krause C., Koubaa Ah. </w:t>
      </w:r>
      <w:proofErr w:type="gramStart"/>
      <w:r w:rsidRPr="00141BED">
        <w:rPr>
          <w:rFonts w:ascii="Times New Roman" w:hAnsi="Times New Roman"/>
          <w:sz w:val="24"/>
          <w:szCs w:val="24"/>
          <w:lang w:val="en-US"/>
        </w:rPr>
        <w:t>Variation in black spruce (Picea mariana (Mill.)</w:t>
      </w:r>
      <w:proofErr w:type="gramEnd"/>
      <w:r w:rsidRPr="00141BED">
        <w:rPr>
          <w:rFonts w:ascii="Times New Roman" w:hAnsi="Times New Roman"/>
          <w:sz w:val="24"/>
          <w:szCs w:val="24"/>
          <w:lang w:val="en-US"/>
        </w:rPr>
        <w:t xml:space="preserve"> BSP) wood quality after thinning // Annals of Forest Science, 2011. </w:t>
      </w:r>
      <w:proofErr w:type="gramStart"/>
      <w:r w:rsidRPr="00141BED">
        <w:rPr>
          <w:rFonts w:ascii="Times New Roman" w:hAnsi="Times New Roman"/>
          <w:sz w:val="24"/>
          <w:szCs w:val="24"/>
          <w:lang w:val="en-US"/>
        </w:rPr>
        <w:t>‒ Vol. 68.</w:t>
      </w:r>
      <w:proofErr w:type="gramEnd"/>
      <w:r w:rsidRPr="00141BED">
        <w:rPr>
          <w:rFonts w:ascii="Times New Roman" w:hAnsi="Times New Roman"/>
          <w:sz w:val="24"/>
          <w:szCs w:val="24"/>
          <w:lang w:val="en-US"/>
        </w:rPr>
        <w:t xml:space="preserve"> </w:t>
      </w:r>
      <w:proofErr w:type="gramStart"/>
      <w:r w:rsidRPr="00141BED">
        <w:rPr>
          <w:rFonts w:ascii="Times New Roman" w:hAnsi="Times New Roman"/>
          <w:sz w:val="24"/>
          <w:szCs w:val="24"/>
          <w:lang w:val="en-US"/>
        </w:rPr>
        <w:t>- № 6.</w:t>
      </w:r>
      <w:proofErr w:type="gramEnd"/>
      <w:r w:rsidRPr="00141BED">
        <w:rPr>
          <w:rFonts w:ascii="Times New Roman" w:hAnsi="Times New Roman"/>
          <w:sz w:val="24"/>
          <w:szCs w:val="24"/>
          <w:lang w:val="en-US"/>
        </w:rPr>
        <w:t xml:space="preserve"> ‒ </w:t>
      </w:r>
      <w:r w:rsidRPr="00141BED">
        <w:rPr>
          <w:rFonts w:ascii="Times New Roman" w:hAnsi="Times New Roman"/>
          <w:sz w:val="24"/>
          <w:szCs w:val="24"/>
        </w:rPr>
        <w:t>Р</w:t>
      </w:r>
      <w:r w:rsidRPr="00141BED">
        <w:rPr>
          <w:rFonts w:ascii="Times New Roman" w:hAnsi="Times New Roman"/>
          <w:sz w:val="24"/>
          <w:szCs w:val="24"/>
          <w:lang w:val="en-US"/>
        </w:rPr>
        <w:t xml:space="preserve"> 1115-1125.</w:t>
      </w:r>
    </w:p>
    <w:p w:rsidR="00655966" w:rsidRPr="00907B5F" w:rsidRDefault="00655966"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34. Pshenichnikova L. S. Assessment of intermediate felling in pine stands // coniferous boreal zones. - 2008. - № 1-2. ‒ P. 80-83.</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D72617" w:rsidRPr="00C85A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35. </w:t>
      </w:r>
      <w:r w:rsidR="00D72617" w:rsidRPr="00141BED">
        <w:rPr>
          <w:rFonts w:ascii="Times New Roman" w:hAnsi="Times New Roman"/>
          <w:sz w:val="24"/>
          <w:szCs w:val="24"/>
          <w:lang w:val="en-US"/>
        </w:rPr>
        <w:t xml:space="preserve">Shiyatov S. G., Vaganov E. A., Kirdyanov A.V., Kruglov V. B., Mazepa V. S., Naurzbaev M. M., Khantemirov R. M. Methods of dendrochronology. </w:t>
      </w:r>
      <w:proofErr w:type="gramStart"/>
      <w:r w:rsidR="00D72617" w:rsidRPr="00141BED">
        <w:rPr>
          <w:rFonts w:ascii="Times New Roman" w:hAnsi="Times New Roman"/>
          <w:sz w:val="24"/>
          <w:szCs w:val="24"/>
          <w:lang w:val="en-US"/>
        </w:rPr>
        <w:t>Part I. Fundamentals of dendrochronology.</w:t>
      </w:r>
      <w:proofErr w:type="gramEnd"/>
      <w:r w:rsidR="00D72617" w:rsidRPr="00141BED">
        <w:rPr>
          <w:rFonts w:ascii="Times New Roman" w:hAnsi="Times New Roman"/>
          <w:sz w:val="24"/>
          <w:szCs w:val="24"/>
          <w:lang w:val="en-US"/>
        </w:rPr>
        <w:t xml:space="preserve"> Collecting and receiving tree-ring information. </w:t>
      </w:r>
      <w:proofErr w:type="gramStart"/>
      <w:r w:rsidR="00D72617" w:rsidRPr="00141BED">
        <w:rPr>
          <w:rFonts w:ascii="Times New Roman" w:hAnsi="Times New Roman"/>
          <w:sz w:val="24"/>
          <w:szCs w:val="24"/>
          <w:lang w:val="en-US"/>
        </w:rPr>
        <w:t>Educational and methodical manual.</w:t>
      </w:r>
      <w:proofErr w:type="gramEnd"/>
      <w:r w:rsidR="00D72617" w:rsidRPr="00141BED">
        <w:rPr>
          <w:rFonts w:ascii="Times New Roman" w:hAnsi="Times New Roman"/>
          <w:sz w:val="24"/>
          <w:szCs w:val="24"/>
          <w:lang w:val="en-US"/>
        </w:rPr>
        <w:t xml:space="preserve"> – Krasnoyarsk: Krasgu, 2000. – P. 80</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D72617" w:rsidRPr="00907B5F" w:rsidRDefault="00D72617"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36. Matveev S. M., Chebotarev V. V. Dendroclimatic study of Usman pine forests and modeling of fire - dangerous seasons // Lesnoy Zhurnal. - 2002. </w:t>
      </w:r>
      <w:proofErr w:type="gramStart"/>
      <w:r w:rsidRPr="00141BED">
        <w:rPr>
          <w:rFonts w:ascii="Times New Roman" w:hAnsi="Times New Roman"/>
          <w:sz w:val="24"/>
          <w:szCs w:val="24"/>
          <w:lang w:val="en-US"/>
        </w:rPr>
        <w:t>‒ No. 2.</w:t>
      </w:r>
      <w:proofErr w:type="gramEnd"/>
      <w:r w:rsidRPr="00141BED">
        <w:rPr>
          <w:rFonts w:ascii="Times New Roman" w:hAnsi="Times New Roman"/>
          <w:sz w:val="24"/>
          <w:szCs w:val="24"/>
          <w:lang w:val="en-US"/>
        </w:rPr>
        <w:t xml:space="preserve"> ‒ P. 37-42.</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D72617" w:rsidRPr="00907B5F" w:rsidRDefault="00D72617"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37. Matveev S. M. dynamics of the state of pine plantations under the influence of recreation // Bulletin of the Voronezh state forest engineering University. Series: geography, Geoecology. - 2005. </w:t>
      </w:r>
      <w:proofErr w:type="gramStart"/>
      <w:r w:rsidRPr="00141BED">
        <w:rPr>
          <w:rFonts w:ascii="Times New Roman" w:hAnsi="Times New Roman"/>
          <w:sz w:val="24"/>
          <w:szCs w:val="24"/>
          <w:lang w:val="en-US"/>
        </w:rPr>
        <w:t>‒ No. 2.</w:t>
      </w:r>
      <w:proofErr w:type="gramEnd"/>
      <w:r w:rsidRPr="00141BED">
        <w:rPr>
          <w:rFonts w:ascii="Times New Roman" w:hAnsi="Times New Roman"/>
          <w:sz w:val="24"/>
          <w:szCs w:val="24"/>
          <w:lang w:val="en-US"/>
        </w:rPr>
        <w:t xml:space="preserve"> – P. 97-103.</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D72617" w:rsidRPr="00907B5F" w:rsidRDefault="00D72617"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38. Runova E. M., Mikhailova T. A., Anoshkina L. V. Influence of recreational load on the radial increment of pine trees. </w:t>
      </w:r>
      <w:proofErr w:type="gramStart"/>
      <w:r w:rsidRPr="00141BED">
        <w:rPr>
          <w:rFonts w:ascii="Times New Roman" w:hAnsi="Times New Roman"/>
          <w:sz w:val="24"/>
          <w:szCs w:val="24"/>
          <w:lang w:val="en-US"/>
        </w:rPr>
        <w:t>Methods.</w:t>
      </w:r>
      <w:proofErr w:type="gramEnd"/>
      <w:r w:rsidRPr="00141BED">
        <w:rPr>
          <w:rFonts w:ascii="Times New Roman" w:hAnsi="Times New Roman"/>
          <w:sz w:val="24"/>
          <w:szCs w:val="24"/>
          <w:lang w:val="en-US"/>
        </w:rPr>
        <w:t xml:space="preserve"> </w:t>
      </w:r>
      <w:proofErr w:type="gramStart"/>
      <w:r w:rsidRPr="00141BED">
        <w:rPr>
          <w:rFonts w:ascii="Times New Roman" w:hAnsi="Times New Roman"/>
          <w:sz w:val="24"/>
          <w:szCs w:val="24"/>
          <w:lang w:val="en-US"/>
        </w:rPr>
        <w:t>Technologies.</w:t>
      </w:r>
      <w:proofErr w:type="gramEnd"/>
      <w:r w:rsidRPr="00141BED">
        <w:rPr>
          <w:rFonts w:ascii="Times New Roman" w:hAnsi="Times New Roman"/>
          <w:sz w:val="24"/>
          <w:szCs w:val="24"/>
          <w:lang w:val="en-US"/>
        </w:rPr>
        <w:t xml:space="preserve"> - 2011. </w:t>
      </w:r>
      <w:proofErr w:type="gramStart"/>
      <w:r w:rsidRPr="00141BED">
        <w:rPr>
          <w:rFonts w:ascii="Times New Roman" w:hAnsi="Times New Roman"/>
          <w:sz w:val="24"/>
          <w:szCs w:val="24"/>
          <w:lang w:val="en-US"/>
        </w:rPr>
        <w:t>– No. 10.</w:t>
      </w:r>
      <w:proofErr w:type="gramEnd"/>
      <w:r w:rsidRPr="00141BED">
        <w:rPr>
          <w:rFonts w:ascii="Times New Roman" w:hAnsi="Times New Roman"/>
          <w:sz w:val="24"/>
          <w:szCs w:val="24"/>
          <w:lang w:val="en-US"/>
        </w:rPr>
        <w:t xml:space="preserve"> – P. 142-144.</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D72617" w:rsidRPr="00907B5F"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lastRenderedPageBreak/>
        <w:t xml:space="preserve">39. </w:t>
      </w:r>
      <w:r w:rsidR="00D72617" w:rsidRPr="00141BED">
        <w:rPr>
          <w:rFonts w:ascii="Times New Roman" w:hAnsi="Times New Roman"/>
          <w:sz w:val="24"/>
          <w:szCs w:val="24"/>
          <w:lang w:val="en-US"/>
        </w:rPr>
        <w:t xml:space="preserve">Katyutin P. N., Gorshkov V. V., Stavrova N. I. Radial increment of Siberian spruce at different stages of post - fire successions // Vestnik MGUL. - 2014. </w:t>
      </w:r>
      <w:proofErr w:type="gramStart"/>
      <w:r w:rsidR="00D72617" w:rsidRPr="00141BED">
        <w:rPr>
          <w:rFonts w:ascii="Times New Roman" w:hAnsi="Times New Roman"/>
          <w:sz w:val="24"/>
          <w:szCs w:val="24"/>
          <w:lang w:val="en-US"/>
        </w:rPr>
        <w:t>‒ No. 5.</w:t>
      </w:r>
      <w:proofErr w:type="gramEnd"/>
      <w:r w:rsidR="00D72617" w:rsidRPr="00141BED">
        <w:rPr>
          <w:rFonts w:ascii="Times New Roman" w:hAnsi="Times New Roman"/>
          <w:sz w:val="24"/>
          <w:szCs w:val="24"/>
          <w:lang w:val="en-US"/>
        </w:rPr>
        <w:t xml:space="preserve"> – P. 72-78.</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D72617" w:rsidRPr="00907B5F" w:rsidRDefault="00D72617"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40. Palchikov S. B., Baranov A. F. Questions of the need to monitor the state of plantings using modern methods of dendrochronological research // Forest Bulletin. - 2014. </w:t>
      </w:r>
      <w:proofErr w:type="gramStart"/>
      <w:r w:rsidRPr="00141BED">
        <w:rPr>
          <w:rFonts w:ascii="Times New Roman" w:hAnsi="Times New Roman"/>
          <w:sz w:val="24"/>
          <w:szCs w:val="24"/>
          <w:lang w:val="en-US"/>
        </w:rPr>
        <w:t>‒ No. 5.</w:t>
      </w:r>
      <w:proofErr w:type="gramEnd"/>
      <w:r w:rsidRPr="00141BED">
        <w:rPr>
          <w:rFonts w:ascii="Times New Roman" w:hAnsi="Times New Roman"/>
          <w:sz w:val="24"/>
          <w:szCs w:val="24"/>
          <w:lang w:val="en-US"/>
        </w:rPr>
        <w:t xml:space="preserve"> – P. 116-121.</w:t>
      </w:r>
      <w:r w:rsidR="00C85AED" w:rsidRPr="00907B5F">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D72617" w:rsidRPr="00C85AED" w:rsidRDefault="00D72617"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41. Matveev S. M., Mironenko A.V., Timoshchuk D. A. Forestry and dendroclimatic analysis of artificial pine phytocenoses exposed to recreational digression in the suburban zone of Voronezh//Journal of the Siberian Federal University. Series: Biology. - 2015. </w:t>
      </w:r>
      <w:proofErr w:type="gramStart"/>
      <w:r w:rsidRPr="00141BED">
        <w:rPr>
          <w:rFonts w:ascii="Times New Roman" w:hAnsi="Times New Roman"/>
          <w:sz w:val="24"/>
          <w:szCs w:val="24"/>
          <w:lang w:val="en-US"/>
        </w:rPr>
        <w:t>‒ No. 4.</w:t>
      </w:r>
      <w:proofErr w:type="gramEnd"/>
      <w:r w:rsidRPr="00141BED">
        <w:rPr>
          <w:rFonts w:ascii="Times New Roman" w:hAnsi="Times New Roman"/>
          <w:sz w:val="24"/>
          <w:szCs w:val="24"/>
          <w:lang w:val="en-US"/>
        </w:rPr>
        <w:t xml:space="preserve"> – P. 410-425.</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27E6E" w:rsidRPr="00C85A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42. Brown P.M. Dendrochronology, Fire Regimes // Encyclopedia of Scientific Dating Methods. - 2014. – </w:t>
      </w:r>
      <w:r w:rsidRPr="00141BED">
        <w:rPr>
          <w:rFonts w:ascii="Times New Roman" w:hAnsi="Times New Roman"/>
          <w:sz w:val="24"/>
          <w:szCs w:val="24"/>
        </w:rPr>
        <w:t>Р</w:t>
      </w:r>
      <w:r w:rsidRPr="00141BED">
        <w:rPr>
          <w:rFonts w:ascii="Times New Roman" w:hAnsi="Times New Roman"/>
          <w:sz w:val="24"/>
          <w:szCs w:val="24"/>
          <w:lang w:val="en-US"/>
        </w:rPr>
        <w:t>. 1-4.</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26465C" w:rsidRPr="00C85A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43. </w:t>
      </w:r>
      <w:r w:rsidR="0026465C" w:rsidRPr="00141BED">
        <w:rPr>
          <w:rFonts w:ascii="Times New Roman" w:hAnsi="Times New Roman"/>
          <w:sz w:val="24"/>
          <w:szCs w:val="24"/>
          <w:lang w:val="en-US"/>
        </w:rPr>
        <w:t>Bogolepov M. A. Climate fluctuations and historical life (famine, war) 1912. - Moscow: Synodal printing house, 1912 – P. 24</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26465C" w:rsidRPr="00C85AED" w:rsidRDefault="0026465C"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44. A. P. Chizhevsky the Terrestrial echo of solar storms. – M.: Thought, 1976. – P. 367</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26465C" w:rsidRPr="00C85AED" w:rsidRDefault="0026465C"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45. Aleksandrova M. S., Drozdov I. I., Rumyantsev D. E. The influence of climatic factors on the radial increment of Siberian cedar pine (Pinus sibirica DuTour) in the context of Main Botanical Garden of RAS // Bulletin Main Botanical garden. - 2008. – Issue 194. - P. 36-40.</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26465C" w:rsidRPr="00C85AED" w:rsidRDefault="0026465C"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46. Vakhnina I. L. Radial increment of Scots pine (Pinus sylvestris L.) in the green zone of Chita in the second half of the last century // Geography and natural resources. - 2011. - No. 1</w:t>
      </w:r>
      <w:proofErr w:type="gramStart"/>
      <w:r w:rsidRPr="00141BED">
        <w:rPr>
          <w:rFonts w:ascii="Times New Roman" w:hAnsi="Times New Roman"/>
          <w:sz w:val="24"/>
          <w:szCs w:val="24"/>
          <w:lang w:val="en-US"/>
        </w:rPr>
        <w:t>.–</w:t>
      </w:r>
      <w:proofErr w:type="gramEnd"/>
      <w:r w:rsidRPr="00141BED">
        <w:rPr>
          <w:rFonts w:ascii="Times New Roman" w:hAnsi="Times New Roman"/>
          <w:sz w:val="24"/>
          <w:szCs w:val="24"/>
          <w:lang w:val="en-US"/>
        </w:rPr>
        <w:t xml:space="preserve"> P. 180-182.</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26465C" w:rsidRPr="00C85AED" w:rsidRDefault="0026465C"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47. Kostin S. I. Frequency of dry and wet periods in the Central part of the forest-steppe of the Russian plain. – Voronezh: Voronezh publishing house of the Voronezh </w:t>
      </w:r>
      <w:proofErr w:type="gramStart"/>
      <w:r w:rsidRPr="00141BED">
        <w:rPr>
          <w:rFonts w:ascii="Times New Roman" w:hAnsi="Times New Roman"/>
          <w:sz w:val="24"/>
          <w:szCs w:val="24"/>
          <w:lang w:val="en-US"/>
        </w:rPr>
        <w:t>university</w:t>
      </w:r>
      <w:proofErr w:type="gramEnd"/>
      <w:r w:rsidRPr="00141BED">
        <w:rPr>
          <w:rFonts w:ascii="Times New Roman" w:hAnsi="Times New Roman"/>
          <w:sz w:val="24"/>
          <w:szCs w:val="24"/>
          <w:lang w:val="en-US"/>
        </w:rPr>
        <w:t>, 1963. – Vol. 29. – P. 91-101.</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D164F" w:rsidRPr="00C85A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48. </w:t>
      </w:r>
      <w:r w:rsidR="004D164F" w:rsidRPr="00141BED">
        <w:rPr>
          <w:rFonts w:ascii="Times New Roman" w:hAnsi="Times New Roman"/>
          <w:sz w:val="24"/>
          <w:szCs w:val="24"/>
          <w:lang w:val="en-US"/>
        </w:rPr>
        <w:t>Rumyantsev D. E. History and methodology of forestry dendrochronology. – Moscow: MGUL, 2010. – P. 109</w:t>
      </w:r>
      <w:r w:rsidR="00427E6E" w:rsidRPr="00141BED">
        <w:rPr>
          <w:rFonts w:ascii="Times New Roman" w:hAnsi="Times New Roman"/>
          <w:sz w:val="24"/>
          <w:szCs w:val="24"/>
          <w:lang w:val="en-US"/>
        </w:rPr>
        <w:t>.</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27E6E" w:rsidRPr="00C85AED" w:rsidRDefault="00427E6E" w:rsidP="00141BED">
      <w:pPr>
        <w:pStyle w:val="a3"/>
        <w:spacing w:after="0" w:line="360" w:lineRule="auto"/>
        <w:ind w:left="0" w:firstLine="567"/>
        <w:jc w:val="both"/>
        <w:rPr>
          <w:rFonts w:ascii="Times New Roman" w:hAnsi="Times New Roman"/>
          <w:sz w:val="24"/>
          <w:szCs w:val="24"/>
          <w:shd w:val="clear" w:color="auto" w:fill="FFFFFF"/>
          <w:lang w:val="en-US"/>
        </w:rPr>
      </w:pPr>
      <w:r w:rsidRPr="00141BED">
        <w:rPr>
          <w:rFonts w:ascii="Times New Roman" w:hAnsi="Times New Roman"/>
          <w:sz w:val="24"/>
          <w:szCs w:val="24"/>
          <w:lang w:val="en-US"/>
        </w:rPr>
        <w:t xml:space="preserve">49. </w:t>
      </w:r>
      <w:r w:rsidRPr="00141BED">
        <w:rPr>
          <w:rFonts w:ascii="Times New Roman" w:hAnsi="Times New Roman"/>
          <w:sz w:val="24"/>
          <w:szCs w:val="24"/>
          <w:shd w:val="clear" w:color="auto" w:fill="FFFFFF"/>
          <w:lang w:val="en-US"/>
        </w:rPr>
        <w:t xml:space="preserve">Boberg F. Solar wind variations related to fluctuations of the NAO / F. Boberg, H. Lundstedt // Geophysical research letters. - 2002. - Vol. 29. - </w:t>
      </w:r>
      <w:proofErr w:type="gramStart"/>
      <w:r w:rsidRPr="00141BED">
        <w:rPr>
          <w:rFonts w:ascii="Times New Roman" w:hAnsi="Times New Roman"/>
          <w:sz w:val="24"/>
          <w:szCs w:val="24"/>
          <w:shd w:val="clear" w:color="auto" w:fill="FFFFFF"/>
        </w:rPr>
        <w:t>Р</w:t>
      </w:r>
      <w:r w:rsidRPr="00141BED">
        <w:rPr>
          <w:rFonts w:ascii="Times New Roman" w:hAnsi="Times New Roman"/>
          <w:sz w:val="24"/>
          <w:szCs w:val="24"/>
          <w:shd w:val="clear" w:color="auto" w:fill="FFFFFF"/>
          <w:lang w:val="en-US"/>
        </w:rPr>
        <w:t>. 13</w:t>
      </w:r>
      <w:proofErr w:type="gramEnd"/>
      <w:r w:rsidRPr="00141BED">
        <w:rPr>
          <w:rFonts w:ascii="Times New Roman" w:hAnsi="Times New Roman"/>
          <w:sz w:val="24"/>
          <w:szCs w:val="24"/>
          <w:shd w:val="clear" w:color="auto" w:fill="FFFFFF"/>
          <w:lang w:val="en-US"/>
        </w:rPr>
        <w:t>-17.</w:t>
      </w:r>
      <w:r w:rsidR="00C85AED" w:rsidRPr="00C85AED">
        <w:rPr>
          <w:rFonts w:ascii="Times New Roman" w:hAnsi="Times New Roman"/>
          <w:sz w:val="24"/>
          <w:szCs w:val="24"/>
          <w:shd w:val="clear" w:color="auto" w:fill="FFFFFF"/>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27E6E" w:rsidRPr="00141BED" w:rsidRDefault="00427E6E" w:rsidP="00141BED">
      <w:pPr>
        <w:pStyle w:val="a3"/>
        <w:spacing w:after="0" w:line="360" w:lineRule="auto"/>
        <w:ind w:left="0" w:firstLine="567"/>
        <w:jc w:val="both"/>
        <w:rPr>
          <w:rFonts w:ascii="Times New Roman" w:hAnsi="Times New Roman"/>
          <w:sz w:val="24"/>
          <w:szCs w:val="24"/>
          <w:shd w:val="clear" w:color="auto" w:fill="FFFFFF"/>
          <w:lang w:val="en-US"/>
        </w:rPr>
      </w:pPr>
      <w:r w:rsidRPr="00141BED">
        <w:rPr>
          <w:rFonts w:ascii="Times New Roman" w:hAnsi="Times New Roman"/>
          <w:sz w:val="24"/>
          <w:szCs w:val="24"/>
          <w:shd w:val="clear" w:color="auto" w:fill="FFFFFF"/>
          <w:lang w:val="en-US"/>
        </w:rPr>
        <w:t xml:space="preserve">50. Kullman L. Dynamics of altitudinal tree-limits in Sweden: a review // Nor. Geogr. </w:t>
      </w:r>
      <w:proofErr w:type="gramStart"/>
      <w:r w:rsidRPr="00141BED">
        <w:rPr>
          <w:rFonts w:ascii="Times New Roman" w:hAnsi="Times New Roman"/>
          <w:sz w:val="24"/>
          <w:szCs w:val="24"/>
          <w:shd w:val="clear" w:color="auto" w:fill="FFFFFF"/>
          <w:lang w:val="en-US"/>
        </w:rPr>
        <w:t>Tidsskr.</w:t>
      </w:r>
      <w:proofErr w:type="gramEnd"/>
      <w:r w:rsidRPr="00141BED">
        <w:rPr>
          <w:rFonts w:ascii="Times New Roman" w:hAnsi="Times New Roman"/>
          <w:sz w:val="24"/>
          <w:szCs w:val="24"/>
          <w:shd w:val="clear" w:color="auto" w:fill="FFFFFF"/>
          <w:lang w:val="en-US"/>
        </w:rPr>
        <w:t xml:space="preserve"> – 1990. -  Vol. 44. - </w:t>
      </w:r>
      <w:proofErr w:type="gramStart"/>
      <w:r w:rsidRPr="00141BED">
        <w:rPr>
          <w:rFonts w:ascii="Times New Roman" w:hAnsi="Times New Roman"/>
          <w:sz w:val="24"/>
          <w:szCs w:val="24"/>
          <w:shd w:val="clear" w:color="auto" w:fill="FFFFFF"/>
        </w:rPr>
        <w:t>Р</w:t>
      </w:r>
      <w:r w:rsidRPr="00141BED">
        <w:rPr>
          <w:rFonts w:ascii="Times New Roman" w:hAnsi="Times New Roman"/>
          <w:sz w:val="24"/>
          <w:szCs w:val="24"/>
          <w:shd w:val="clear" w:color="auto" w:fill="FFFFFF"/>
          <w:lang w:val="en-US"/>
        </w:rPr>
        <w:t>. 103</w:t>
      </w:r>
      <w:proofErr w:type="gramEnd"/>
      <w:r w:rsidRPr="00141BED">
        <w:rPr>
          <w:rFonts w:ascii="Times New Roman" w:hAnsi="Times New Roman"/>
          <w:sz w:val="24"/>
          <w:szCs w:val="24"/>
          <w:shd w:val="clear" w:color="auto" w:fill="FFFFFF"/>
          <w:lang w:val="en-US"/>
        </w:rPr>
        <w:t>-116.</w:t>
      </w:r>
    </w:p>
    <w:p w:rsidR="00427E6E" w:rsidRPr="00141BED" w:rsidRDefault="00427E6E" w:rsidP="00141BED">
      <w:pPr>
        <w:pStyle w:val="a3"/>
        <w:spacing w:after="0" w:line="360" w:lineRule="auto"/>
        <w:ind w:left="0" w:firstLine="567"/>
        <w:jc w:val="both"/>
        <w:rPr>
          <w:rFonts w:ascii="Times New Roman" w:hAnsi="Times New Roman"/>
          <w:sz w:val="24"/>
          <w:szCs w:val="24"/>
          <w:shd w:val="clear" w:color="auto" w:fill="FFFFFF"/>
          <w:lang w:val="en-US"/>
        </w:rPr>
      </w:pPr>
      <w:r w:rsidRPr="00141BED">
        <w:rPr>
          <w:rFonts w:ascii="Times New Roman" w:hAnsi="Times New Roman"/>
          <w:sz w:val="24"/>
          <w:szCs w:val="24"/>
          <w:shd w:val="clear" w:color="auto" w:fill="FFFFFF"/>
          <w:lang w:val="en-US"/>
        </w:rPr>
        <w:lastRenderedPageBreak/>
        <w:t xml:space="preserve">51. Lindholm M., Eronen M., Timonen M., Merilainen J. A ring-width chronology of Scots pine from northern Lapland covering the last two millenia // Annales Botanic Fennici. - 1999. - Vol. 36. - </w:t>
      </w:r>
      <w:proofErr w:type="gramStart"/>
      <w:r w:rsidRPr="00141BED">
        <w:rPr>
          <w:rFonts w:ascii="Times New Roman" w:hAnsi="Times New Roman"/>
          <w:sz w:val="24"/>
          <w:szCs w:val="24"/>
          <w:shd w:val="clear" w:color="auto" w:fill="FFFFFF"/>
        </w:rPr>
        <w:t>Р</w:t>
      </w:r>
      <w:r w:rsidRPr="00141BED">
        <w:rPr>
          <w:rFonts w:ascii="Times New Roman" w:hAnsi="Times New Roman"/>
          <w:sz w:val="24"/>
          <w:szCs w:val="24"/>
          <w:shd w:val="clear" w:color="auto" w:fill="FFFFFF"/>
          <w:lang w:val="en-US"/>
        </w:rPr>
        <w:t>. 119</w:t>
      </w:r>
      <w:proofErr w:type="gramEnd"/>
      <w:r w:rsidRPr="00141BED">
        <w:rPr>
          <w:rFonts w:ascii="Times New Roman" w:hAnsi="Times New Roman"/>
          <w:sz w:val="24"/>
          <w:szCs w:val="24"/>
          <w:shd w:val="clear" w:color="auto" w:fill="FFFFFF"/>
          <w:lang w:val="en-US"/>
        </w:rPr>
        <w:t xml:space="preserve">-126. </w:t>
      </w:r>
    </w:p>
    <w:p w:rsidR="004D164F" w:rsidRPr="00C85AED" w:rsidRDefault="004D164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52. Matveev S. M. Cyclicity of increment of pine stands of the Central forest-steppe in the 11-year cycle of solar activity // News of higher educational institutions, Lesnoy Zhurnal (Forest Journal). - 2005. </w:t>
      </w:r>
      <w:proofErr w:type="gramStart"/>
      <w:r w:rsidRPr="00141BED">
        <w:rPr>
          <w:rFonts w:ascii="Times New Roman" w:hAnsi="Times New Roman"/>
          <w:sz w:val="24"/>
          <w:szCs w:val="24"/>
          <w:lang w:val="en-US"/>
        </w:rPr>
        <w:t>- no. 1-2.</w:t>
      </w:r>
      <w:proofErr w:type="gramEnd"/>
      <w:r w:rsidRPr="00141BED">
        <w:rPr>
          <w:rFonts w:ascii="Times New Roman" w:hAnsi="Times New Roman"/>
          <w:sz w:val="24"/>
          <w:szCs w:val="24"/>
          <w:lang w:val="en-US"/>
        </w:rPr>
        <w:t xml:space="preserve"> – P. 15-22.</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D164F" w:rsidRPr="00C85AED" w:rsidRDefault="004D164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53. Lipatkin V. A., Palchikov S. B. and otheres. Environmental factors in the years of abnormal pine increment in the forest zone of the Russian Federation // Society. </w:t>
      </w:r>
      <w:proofErr w:type="gramStart"/>
      <w:r w:rsidRPr="00141BED">
        <w:rPr>
          <w:rFonts w:ascii="Times New Roman" w:hAnsi="Times New Roman"/>
          <w:sz w:val="24"/>
          <w:szCs w:val="24"/>
          <w:lang w:val="en-US"/>
        </w:rPr>
        <w:t>Wednesday.</w:t>
      </w:r>
      <w:proofErr w:type="gramEnd"/>
      <w:r w:rsidRPr="00141BED">
        <w:rPr>
          <w:rFonts w:ascii="Times New Roman" w:hAnsi="Times New Roman"/>
          <w:sz w:val="24"/>
          <w:szCs w:val="24"/>
          <w:lang w:val="en-US"/>
        </w:rPr>
        <w:t xml:space="preserve"> </w:t>
      </w:r>
      <w:proofErr w:type="gramStart"/>
      <w:r w:rsidRPr="00141BED">
        <w:rPr>
          <w:rFonts w:ascii="Times New Roman" w:hAnsi="Times New Roman"/>
          <w:sz w:val="24"/>
          <w:szCs w:val="24"/>
          <w:lang w:val="en-US"/>
        </w:rPr>
        <w:t>Development.</w:t>
      </w:r>
      <w:proofErr w:type="gramEnd"/>
      <w:r w:rsidRPr="00141BED">
        <w:rPr>
          <w:rFonts w:ascii="Times New Roman" w:hAnsi="Times New Roman"/>
          <w:sz w:val="24"/>
          <w:szCs w:val="24"/>
          <w:lang w:val="en-US"/>
        </w:rPr>
        <w:t xml:space="preserve"> - 2017. </w:t>
      </w:r>
      <w:proofErr w:type="gramStart"/>
      <w:r w:rsidRPr="00141BED">
        <w:rPr>
          <w:rFonts w:ascii="Times New Roman" w:hAnsi="Times New Roman"/>
          <w:sz w:val="24"/>
          <w:szCs w:val="24"/>
          <w:lang w:val="en-US"/>
        </w:rPr>
        <w:t>- № 3 (44).</w:t>
      </w:r>
      <w:proofErr w:type="gramEnd"/>
      <w:r w:rsidRPr="00141BED">
        <w:rPr>
          <w:rFonts w:ascii="Times New Roman" w:hAnsi="Times New Roman"/>
          <w:sz w:val="24"/>
          <w:szCs w:val="24"/>
          <w:lang w:val="en-US"/>
        </w:rPr>
        <w:t xml:space="preserve"> – P. 99-10.</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D164F" w:rsidRPr="00C85AED" w:rsidRDefault="004D164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54. Lovelius N. V., Lezhneva S. V. Changes in the increment of annual rings of pine and spruce in the Eastern European taiga due to geographical environmental factors. – Vologda: VOUNB, 2015. – P. 178</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D164F" w:rsidRPr="00C85AED" w:rsidRDefault="004D164F"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55. Simonenko V. S., Simonenko V. A. Influence of climatic and biotic factors on the radial increment of Scots pine in the centers of mass reproduction of pine sawflies // Modern problems of science and education. - 2014. </w:t>
      </w:r>
      <w:proofErr w:type="gramStart"/>
      <w:r w:rsidRPr="00141BED">
        <w:rPr>
          <w:rFonts w:ascii="Times New Roman" w:hAnsi="Times New Roman"/>
          <w:sz w:val="24"/>
          <w:szCs w:val="24"/>
          <w:lang w:val="en-US"/>
        </w:rPr>
        <w:t>- No. 4.</w:t>
      </w:r>
      <w:proofErr w:type="gramEnd"/>
      <w:r w:rsidRPr="00141BED">
        <w:rPr>
          <w:rFonts w:ascii="Times New Roman" w:hAnsi="Times New Roman"/>
          <w:sz w:val="24"/>
          <w:szCs w:val="24"/>
          <w:lang w:val="en-US"/>
        </w:rPr>
        <w:t xml:space="preserve"> – P. 501-510.</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AA413E" w:rsidRPr="00C85AED" w:rsidRDefault="00A820F1" w:rsidP="00141BED">
      <w:pPr>
        <w:spacing w:after="0" w:line="360" w:lineRule="auto"/>
        <w:ind w:firstLine="567"/>
        <w:jc w:val="both"/>
        <w:rPr>
          <w:rFonts w:ascii="Times New Roman" w:hAnsi="Times New Roman"/>
          <w:sz w:val="24"/>
          <w:szCs w:val="24"/>
          <w:lang w:val="en-US"/>
        </w:rPr>
      </w:pPr>
      <w:r w:rsidRPr="00141BED">
        <w:rPr>
          <w:rFonts w:ascii="Times New Roman" w:hAnsi="Times New Roman"/>
          <w:bCs/>
          <w:sz w:val="24"/>
          <w:szCs w:val="24"/>
          <w:lang w:val="en-US"/>
        </w:rPr>
        <w:t xml:space="preserve">56. </w:t>
      </w:r>
      <w:r w:rsidR="00AA413E" w:rsidRPr="00141BED">
        <w:rPr>
          <w:rFonts w:ascii="Times New Roman" w:hAnsi="Times New Roman"/>
          <w:sz w:val="24"/>
          <w:szCs w:val="24"/>
          <w:lang w:val="en-US"/>
        </w:rPr>
        <w:t xml:space="preserve">Matveev S. M. Cyclical dynamics of solar activity, climate and increment of trees // Actual directions of scientific research of the XXI century: theory and practice. - 2013. </w:t>
      </w:r>
      <w:proofErr w:type="gramStart"/>
      <w:r w:rsidR="00AA413E" w:rsidRPr="00141BED">
        <w:rPr>
          <w:rFonts w:ascii="Times New Roman" w:hAnsi="Times New Roman"/>
          <w:sz w:val="24"/>
          <w:szCs w:val="24"/>
          <w:lang w:val="en-US"/>
        </w:rPr>
        <w:t>- No. 5.</w:t>
      </w:r>
      <w:proofErr w:type="gramEnd"/>
      <w:r w:rsidR="00AA413E" w:rsidRPr="00141BED">
        <w:rPr>
          <w:rFonts w:ascii="Times New Roman" w:hAnsi="Times New Roman"/>
          <w:sz w:val="24"/>
          <w:szCs w:val="24"/>
          <w:lang w:val="en-US"/>
        </w:rPr>
        <w:t xml:space="preserve"> – P. 368-373.</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AA413E" w:rsidRPr="00C85AED" w:rsidRDefault="00AA413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57. Tishin D. V. Influence of natural and climatic factors on the radial increment of the main tree species of the middle Volga region. – Abstract for the title of candidate of biol. sciences. – Kaza</w:t>
      </w:r>
      <w:r w:rsidR="00C85AED">
        <w:rPr>
          <w:rFonts w:ascii="Times New Roman" w:hAnsi="Times New Roman"/>
          <w:sz w:val="24"/>
          <w:szCs w:val="24"/>
          <w:lang w:val="en-US"/>
        </w:rPr>
        <w:t>n, 2006. – P. 151</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AA413E" w:rsidRPr="00C85AED" w:rsidRDefault="00AA413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58. Dmitrieva E. V. </w:t>
      </w:r>
      <w:r w:rsidRPr="00141BED">
        <w:rPr>
          <w:rFonts w:ascii="Times New Roman" w:hAnsi="Times New Roman"/>
          <w:sz w:val="24"/>
          <w:szCs w:val="24"/>
        </w:rPr>
        <w:t>В</w:t>
      </w:r>
      <w:r w:rsidRPr="00141BED">
        <w:rPr>
          <w:rFonts w:ascii="Times New Roman" w:hAnsi="Times New Roman"/>
          <w:sz w:val="24"/>
          <w:szCs w:val="24"/>
          <w:lang w:val="en-US"/>
        </w:rPr>
        <w:t xml:space="preserve">ynamics of the current increment of stands of the main groups of types of pine forests of the Buzuluk forest and the possibility of its forecasting // Forestry. – 1987. </w:t>
      </w:r>
      <w:proofErr w:type="gramStart"/>
      <w:r w:rsidRPr="00141BED">
        <w:rPr>
          <w:rFonts w:ascii="Times New Roman" w:hAnsi="Times New Roman"/>
          <w:sz w:val="24"/>
          <w:szCs w:val="24"/>
          <w:lang w:val="en-US"/>
        </w:rPr>
        <w:t xml:space="preserve">- </w:t>
      </w:r>
      <w:r w:rsidR="00C85AED" w:rsidRPr="00141BED">
        <w:rPr>
          <w:rFonts w:ascii="Times New Roman" w:hAnsi="Times New Roman"/>
          <w:sz w:val="24"/>
          <w:szCs w:val="24"/>
          <w:lang w:val="en-US"/>
        </w:rPr>
        <w:t>No.</w:t>
      </w:r>
      <w:r w:rsidRPr="00141BED">
        <w:rPr>
          <w:rFonts w:ascii="Times New Roman" w:hAnsi="Times New Roman"/>
          <w:sz w:val="24"/>
          <w:szCs w:val="24"/>
          <w:lang w:val="en-US"/>
        </w:rPr>
        <w:t xml:space="preserve"> 2.</w:t>
      </w:r>
      <w:proofErr w:type="gramEnd"/>
      <w:r w:rsidRPr="00141BED">
        <w:rPr>
          <w:rFonts w:ascii="Times New Roman" w:hAnsi="Times New Roman"/>
          <w:sz w:val="24"/>
          <w:szCs w:val="24"/>
          <w:lang w:val="en-US"/>
        </w:rPr>
        <w:t xml:space="preserve"> – P. 51-53.</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AA413E" w:rsidRPr="00C85AED" w:rsidRDefault="00AA413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59. Komin G. E. Cyclicity of the forest formation process // forest science. - 1993. </w:t>
      </w:r>
      <w:proofErr w:type="gramStart"/>
      <w:r w:rsidRPr="00141BED">
        <w:rPr>
          <w:rFonts w:ascii="Times New Roman" w:hAnsi="Times New Roman"/>
          <w:sz w:val="24"/>
          <w:szCs w:val="24"/>
          <w:lang w:val="en-US"/>
        </w:rPr>
        <w:t>- No. 1.</w:t>
      </w:r>
      <w:proofErr w:type="gramEnd"/>
      <w:r w:rsidRPr="00141BED">
        <w:rPr>
          <w:rFonts w:ascii="Times New Roman" w:hAnsi="Times New Roman"/>
          <w:sz w:val="24"/>
          <w:szCs w:val="24"/>
          <w:lang w:val="en-US"/>
        </w:rPr>
        <w:t xml:space="preserve"> - P. 3-8.</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AA413E" w:rsidRPr="00141BED" w:rsidRDefault="00AA413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60. OST 56-69-83. </w:t>
      </w:r>
      <w:proofErr w:type="gramStart"/>
      <w:r w:rsidRPr="00141BED">
        <w:rPr>
          <w:rFonts w:ascii="Times New Roman" w:hAnsi="Times New Roman"/>
          <w:sz w:val="24"/>
          <w:szCs w:val="24"/>
          <w:lang w:val="en-US"/>
        </w:rPr>
        <w:t>Trial forest management areas.</w:t>
      </w:r>
      <w:proofErr w:type="gramEnd"/>
      <w:r w:rsidRPr="00141BED">
        <w:rPr>
          <w:rFonts w:ascii="Times New Roman" w:hAnsi="Times New Roman"/>
          <w:sz w:val="24"/>
          <w:szCs w:val="24"/>
          <w:lang w:val="en-US"/>
        </w:rPr>
        <w:t xml:space="preserve"> Bookmark method. – Moscow: </w:t>
      </w:r>
      <w:r w:rsidRPr="00141BED">
        <w:rPr>
          <w:rFonts w:ascii="Times New Roman" w:hAnsi="Times New Roman"/>
          <w:sz w:val="24"/>
          <w:szCs w:val="24"/>
        </w:rPr>
        <w:t>С</w:t>
      </w:r>
      <w:r w:rsidRPr="00141BED">
        <w:rPr>
          <w:rFonts w:ascii="Times New Roman" w:hAnsi="Times New Roman"/>
          <w:sz w:val="24"/>
          <w:szCs w:val="24"/>
          <w:lang w:val="en-US"/>
        </w:rPr>
        <w:t>entral Bureau of scientific and technical information, 1983. – P. 60</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r w:rsidRPr="00141BED">
        <w:rPr>
          <w:rFonts w:ascii="Times New Roman" w:hAnsi="Times New Roman"/>
          <w:sz w:val="24"/>
          <w:szCs w:val="24"/>
          <w:lang w:val="en-US"/>
        </w:rPr>
        <w:t xml:space="preserve"> </w:t>
      </w:r>
    </w:p>
    <w:p w:rsidR="002E1202" w:rsidRPr="00C85AED" w:rsidRDefault="002E1202"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61. Sorting and commodity tables for </w:t>
      </w:r>
      <w:r w:rsidR="00352FEC" w:rsidRPr="00141BED">
        <w:rPr>
          <w:rFonts w:ascii="Times New Roman" w:hAnsi="Times New Roman"/>
          <w:sz w:val="24"/>
          <w:szCs w:val="24"/>
          <w:lang w:val="en-US"/>
        </w:rPr>
        <w:t>forests in Kazakhstan. – Alma-At</w:t>
      </w:r>
      <w:r w:rsidRPr="00141BED">
        <w:rPr>
          <w:rFonts w:ascii="Times New Roman" w:hAnsi="Times New Roman"/>
          <w:sz w:val="24"/>
          <w:szCs w:val="24"/>
          <w:lang w:val="en-US"/>
        </w:rPr>
        <w:t>A: Kainar</w:t>
      </w:r>
      <w:proofErr w:type="gramStart"/>
      <w:r w:rsidRPr="00141BED">
        <w:rPr>
          <w:rFonts w:ascii="Times New Roman" w:hAnsi="Times New Roman"/>
          <w:sz w:val="24"/>
          <w:szCs w:val="24"/>
          <w:lang w:val="en-US"/>
        </w:rPr>
        <w:t>,1987</w:t>
      </w:r>
      <w:proofErr w:type="gramEnd"/>
      <w:r w:rsidRPr="00141BED">
        <w:rPr>
          <w:rFonts w:ascii="Times New Roman" w:hAnsi="Times New Roman"/>
          <w:sz w:val="24"/>
          <w:szCs w:val="24"/>
          <w:lang w:val="en-US"/>
        </w:rPr>
        <w:t>. – P. 227</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2E1202" w:rsidRPr="00141BED" w:rsidRDefault="002E1202"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62. Alekseev V. A., Chertov O. G., Sergeichik G. A. Forest ecosystems and atmospheric pollution. – L.: Nauka (Science), 1990. – P. 20</w:t>
      </w:r>
      <w:r w:rsidR="00C85AED" w:rsidRPr="00C85AED">
        <w:rPr>
          <w:rFonts w:ascii="Times New Roman" w:hAnsi="Times New Roman"/>
          <w:sz w:val="24"/>
          <w:szCs w:val="24"/>
          <w:lang w:val="en-US"/>
        </w:rPr>
        <w:t xml:space="preserve">0.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shd w:val="clear" w:color="auto" w:fill="FFFFFF"/>
          <w:lang w:val="en-US"/>
        </w:rPr>
        <w:t xml:space="preserve">63. </w:t>
      </w:r>
      <w:r w:rsidRPr="00141BED">
        <w:rPr>
          <w:rFonts w:ascii="Times New Roman" w:hAnsi="Times New Roman"/>
          <w:sz w:val="24"/>
          <w:szCs w:val="24"/>
          <w:lang w:val="en-US"/>
        </w:rPr>
        <w:t xml:space="preserve">Rinn F. TSAP Time Series Analysis and Presentation. </w:t>
      </w:r>
      <w:proofErr w:type="gramStart"/>
      <w:r w:rsidRPr="00141BED">
        <w:rPr>
          <w:rFonts w:ascii="Times New Roman" w:hAnsi="Times New Roman"/>
          <w:sz w:val="24"/>
          <w:szCs w:val="24"/>
          <w:lang w:val="en-US"/>
        </w:rPr>
        <w:t>Version 3.0.</w:t>
      </w:r>
      <w:proofErr w:type="gramEnd"/>
      <w:r w:rsidRPr="00141BED">
        <w:rPr>
          <w:rFonts w:ascii="Times New Roman" w:hAnsi="Times New Roman"/>
          <w:sz w:val="24"/>
          <w:szCs w:val="24"/>
          <w:lang w:val="en-US"/>
        </w:rPr>
        <w:t xml:space="preserve"> Reference Manual // F. Rinn. </w:t>
      </w:r>
      <w:proofErr w:type="gramStart"/>
      <w:r w:rsidRPr="00141BED">
        <w:rPr>
          <w:rFonts w:ascii="Times New Roman" w:hAnsi="Times New Roman"/>
          <w:sz w:val="24"/>
          <w:szCs w:val="24"/>
          <w:lang w:val="en-US"/>
        </w:rPr>
        <w:t>‒ Heidelberg, 1996.</w:t>
      </w:r>
      <w:proofErr w:type="gramEnd"/>
      <w:r w:rsidRPr="00141BED">
        <w:rPr>
          <w:rFonts w:ascii="Times New Roman" w:hAnsi="Times New Roman"/>
          <w:sz w:val="24"/>
          <w:szCs w:val="24"/>
          <w:lang w:val="en-US"/>
        </w:rPr>
        <w:t xml:space="preserve"> </w:t>
      </w:r>
      <w:proofErr w:type="gramStart"/>
      <w:r w:rsidRPr="00141BED">
        <w:rPr>
          <w:rFonts w:ascii="Times New Roman" w:hAnsi="Times New Roman"/>
          <w:sz w:val="24"/>
          <w:szCs w:val="24"/>
          <w:lang w:val="en-US"/>
        </w:rPr>
        <w:t xml:space="preserve">- </w:t>
      </w:r>
      <w:r w:rsidRPr="00141BED">
        <w:rPr>
          <w:rFonts w:ascii="Times New Roman" w:hAnsi="Times New Roman"/>
          <w:sz w:val="24"/>
          <w:szCs w:val="24"/>
        </w:rPr>
        <w:t>Р</w:t>
      </w:r>
      <w:r w:rsidRPr="00141BED">
        <w:rPr>
          <w:rFonts w:ascii="Times New Roman" w:hAnsi="Times New Roman"/>
          <w:sz w:val="24"/>
          <w:szCs w:val="24"/>
          <w:lang w:val="en-US"/>
        </w:rPr>
        <w:t>. 262.</w:t>
      </w:r>
      <w:proofErr w:type="gramEnd"/>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lastRenderedPageBreak/>
        <w:t xml:space="preserve">64. Holmes R.L. Computer-assisted quality control in tree-ring dating and measurement // Tree-Ring Bulletin. - 1983. </w:t>
      </w:r>
      <w:proofErr w:type="gramStart"/>
      <w:r w:rsidRPr="00141BED">
        <w:rPr>
          <w:rFonts w:ascii="Times New Roman" w:hAnsi="Times New Roman"/>
          <w:sz w:val="24"/>
          <w:szCs w:val="24"/>
          <w:lang w:val="en-US"/>
        </w:rPr>
        <w:t>‒ V. 43.</w:t>
      </w:r>
      <w:proofErr w:type="gramEnd"/>
      <w:r w:rsidRPr="00141BED">
        <w:rPr>
          <w:rFonts w:ascii="Times New Roman" w:hAnsi="Times New Roman"/>
          <w:sz w:val="24"/>
          <w:szCs w:val="24"/>
          <w:lang w:val="en-US"/>
        </w:rPr>
        <w:t xml:space="preserve"> ‒ Р. 69–78.</w:t>
      </w:r>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65. Cook E., Holmes R. Guide for Computer Program ARSTAN, Adapted from Users Manual for Program ARSTAN. </w:t>
      </w:r>
      <w:proofErr w:type="gramStart"/>
      <w:r w:rsidRPr="00141BED">
        <w:rPr>
          <w:rFonts w:ascii="Times New Roman" w:hAnsi="Times New Roman"/>
          <w:sz w:val="24"/>
          <w:szCs w:val="24"/>
          <w:lang w:val="en-US"/>
        </w:rPr>
        <w:t>Laboratory of Tree-Ring Research.</w:t>
      </w:r>
      <w:proofErr w:type="gramEnd"/>
      <w:r w:rsidRPr="00141BED">
        <w:rPr>
          <w:rFonts w:ascii="Times New Roman" w:hAnsi="Times New Roman"/>
          <w:sz w:val="24"/>
          <w:szCs w:val="24"/>
          <w:lang w:val="en-US"/>
        </w:rPr>
        <w:t xml:space="preserve"> - University of Arizona, 1986. ‒ P. 50–65.</w:t>
      </w:r>
    </w:p>
    <w:p w:rsidR="00427E6E" w:rsidRPr="00141BED" w:rsidRDefault="00427E6E"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66. Biondi F., Waikul K. Dendroclim2002: a C++ program for statistical calibration of climate signals in tree-ring chronologies // Computers &amp; Geosciences. - 2004. </w:t>
      </w:r>
      <w:proofErr w:type="gramStart"/>
      <w:r w:rsidRPr="00141BED">
        <w:rPr>
          <w:rFonts w:ascii="Times New Roman" w:hAnsi="Times New Roman"/>
          <w:sz w:val="24"/>
          <w:szCs w:val="24"/>
          <w:lang w:val="en-US"/>
        </w:rPr>
        <w:t>‒ V. 30.</w:t>
      </w:r>
      <w:proofErr w:type="gramEnd"/>
      <w:r w:rsidRPr="00141BED">
        <w:rPr>
          <w:rFonts w:ascii="Times New Roman" w:hAnsi="Times New Roman"/>
          <w:sz w:val="24"/>
          <w:szCs w:val="24"/>
          <w:lang w:val="en-US"/>
        </w:rPr>
        <w:t xml:space="preserve"> ‒ P. 303–311.</w:t>
      </w:r>
    </w:p>
    <w:p w:rsidR="002E1202" w:rsidRPr="00C85AED" w:rsidRDefault="002E1202" w:rsidP="00141BED">
      <w:pPr>
        <w:spacing w:after="0" w:line="360" w:lineRule="auto"/>
        <w:ind w:firstLine="567"/>
        <w:jc w:val="both"/>
        <w:rPr>
          <w:rFonts w:ascii="Times New Roman" w:hAnsi="Times New Roman"/>
          <w:sz w:val="24"/>
          <w:szCs w:val="24"/>
          <w:lang w:val="en-US"/>
        </w:rPr>
      </w:pPr>
      <w:r w:rsidRPr="00141BED">
        <w:rPr>
          <w:rFonts w:ascii="Times New Roman" w:hAnsi="Times New Roman"/>
          <w:sz w:val="24"/>
          <w:szCs w:val="24"/>
          <w:lang w:val="en-US"/>
        </w:rPr>
        <w:t xml:space="preserve">67. Beletsky E. N. Mass reproduction </w:t>
      </w:r>
      <w:r w:rsidR="00EA2CF5" w:rsidRPr="00141BED">
        <w:rPr>
          <w:rFonts w:ascii="Times New Roman" w:hAnsi="Times New Roman"/>
          <w:sz w:val="24"/>
          <w:szCs w:val="24"/>
          <w:lang w:val="en-US"/>
        </w:rPr>
        <w:t xml:space="preserve">of insects. </w:t>
      </w:r>
      <w:proofErr w:type="gramStart"/>
      <w:r w:rsidR="00EA2CF5" w:rsidRPr="00141BED">
        <w:rPr>
          <w:rFonts w:ascii="Times New Roman" w:hAnsi="Times New Roman"/>
          <w:sz w:val="24"/>
          <w:szCs w:val="24"/>
          <w:lang w:val="en-US"/>
        </w:rPr>
        <w:t>Theory, history,</w:t>
      </w:r>
      <w:r w:rsidRPr="00141BED">
        <w:rPr>
          <w:rFonts w:ascii="Times New Roman" w:hAnsi="Times New Roman"/>
          <w:sz w:val="24"/>
          <w:szCs w:val="24"/>
          <w:lang w:val="en-US"/>
        </w:rPr>
        <w:t xml:space="preserve"> forecasting.</w:t>
      </w:r>
      <w:proofErr w:type="gramEnd"/>
      <w:r w:rsidRPr="00141BED">
        <w:rPr>
          <w:rFonts w:ascii="Times New Roman" w:hAnsi="Times New Roman"/>
          <w:sz w:val="24"/>
          <w:szCs w:val="24"/>
          <w:lang w:val="en-US"/>
        </w:rPr>
        <w:t xml:space="preserve"> – Kharkiv: Maidan, 2011. – P. 172</w:t>
      </w:r>
      <w:r w:rsidR="00C85AED" w:rsidRPr="00C85AED">
        <w:rPr>
          <w:rFonts w:ascii="Times New Roman" w:hAnsi="Times New Roman"/>
          <w:sz w:val="24"/>
          <w:szCs w:val="24"/>
          <w:lang w:val="en-US"/>
        </w:rPr>
        <w:t xml:space="preserve">. </w:t>
      </w:r>
      <w:proofErr w:type="gramStart"/>
      <w:r w:rsidR="00C85AED" w:rsidRPr="001C4554">
        <w:rPr>
          <w:rFonts w:ascii="Times New Roman" w:hAnsi="Times New Roman"/>
          <w:sz w:val="24"/>
          <w:szCs w:val="24"/>
          <w:lang w:val="en-US"/>
        </w:rPr>
        <w:t>(</w:t>
      </w:r>
      <w:r w:rsidR="00C85AED">
        <w:rPr>
          <w:rFonts w:ascii="Times New Roman" w:hAnsi="Times New Roman"/>
          <w:sz w:val="24"/>
          <w:szCs w:val="24"/>
          <w:lang w:val="en-US"/>
        </w:rPr>
        <w:t>The Rus</w:t>
      </w:r>
      <w:r w:rsidR="00C85AED" w:rsidRPr="001C4554">
        <w:rPr>
          <w:rFonts w:ascii="Times New Roman" w:hAnsi="Times New Roman"/>
          <w:sz w:val="24"/>
          <w:szCs w:val="24"/>
          <w:lang w:val="en-US"/>
        </w:rPr>
        <w:t>.)</w:t>
      </w:r>
      <w:r w:rsidR="00C85AED" w:rsidRPr="00141BED">
        <w:rPr>
          <w:rFonts w:ascii="Times New Roman" w:hAnsi="Times New Roman"/>
          <w:sz w:val="24"/>
          <w:szCs w:val="24"/>
          <w:lang w:val="en-US"/>
        </w:rPr>
        <w:t>.</w:t>
      </w:r>
      <w:proofErr w:type="gramEnd"/>
    </w:p>
    <w:p w:rsidR="002E1202" w:rsidRPr="00141BED" w:rsidRDefault="002E1202" w:rsidP="00141BED">
      <w:pPr>
        <w:spacing w:after="0" w:line="360" w:lineRule="auto"/>
        <w:ind w:firstLine="567"/>
        <w:jc w:val="both"/>
        <w:rPr>
          <w:rFonts w:ascii="Times New Roman" w:hAnsi="Times New Roman"/>
          <w:sz w:val="24"/>
          <w:szCs w:val="24"/>
          <w:lang w:val="en-US"/>
        </w:rPr>
      </w:pPr>
    </w:p>
    <w:p w:rsidR="002E1202" w:rsidRPr="00141BED" w:rsidRDefault="002E1202" w:rsidP="00141BED">
      <w:pPr>
        <w:spacing w:after="0" w:line="360" w:lineRule="auto"/>
        <w:ind w:firstLine="567"/>
        <w:jc w:val="both"/>
        <w:rPr>
          <w:rFonts w:ascii="Times New Roman" w:hAnsi="Times New Roman"/>
          <w:sz w:val="24"/>
          <w:szCs w:val="24"/>
          <w:lang w:val="en-US"/>
        </w:rPr>
      </w:pPr>
    </w:p>
    <w:p w:rsidR="00E65479" w:rsidRDefault="00E65479">
      <w:pPr>
        <w:spacing w:after="160" w:line="259" w:lineRule="auto"/>
        <w:rPr>
          <w:rFonts w:ascii="Times New Roman" w:hAnsi="Times New Roman"/>
          <w:sz w:val="24"/>
          <w:szCs w:val="24"/>
          <w:lang w:val="en-US"/>
        </w:rPr>
      </w:pPr>
      <w:r>
        <w:rPr>
          <w:rFonts w:ascii="Times New Roman" w:hAnsi="Times New Roman"/>
          <w:sz w:val="24"/>
          <w:szCs w:val="24"/>
          <w:lang w:val="en-US"/>
        </w:rPr>
        <w:br w:type="page"/>
      </w:r>
    </w:p>
    <w:p w:rsidR="002E1202" w:rsidRPr="009E2CEA" w:rsidRDefault="00E65479" w:rsidP="00141BED">
      <w:pPr>
        <w:spacing w:after="0" w:line="360" w:lineRule="auto"/>
        <w:jc w:val="center"/>
        <w:rPr>
          <w:rFonts w:ascii="Times New Roman" w:hAnsi="Times New Roman"/>
          <w:b/>
          <w:sz w:val="24"/>
          <w:szCs w:val="24"/>
          <w:lang w:val="en-US"/>
        </w:rPr>
      </w:pPr>
      <w:r w:rsidRPr="009E2CEA">
        <w:rPr>
          <w:rFonts w:ascii="Times New Roman" w:hAnsi="Times New Roman"/>
          <w:b/>
          <w:sz w:val="24"/>
          <w:szCs w:val="24"/>
          <w:lang w:val="en-US"/>
        </w:rPr>
        <w:lastRenderedPageBreak/>
        <w:t xml:space="preserve">APPENDIX A </w:t>
      </w:r>
    </w:p>
    <w:p w:rsidR="002E1202" w:rsidRPr="009E2CEA" w:rsidRDefault="002E1202" w:rsidP="00141BED">
      <w:pPr>
        <w:spacing w:after="0" w:line="360" w:lineRule="auto"/>
        <w:jc w:val="center"/>
        <w:rPr>
          <w:rFonts w:ascii="Times New Roman" w:hAnsi="Times New Roman"/>
          <w:b/>
          <w:sz w:val="24"/>
          <w:szCs w:val="24"/>
          <w:lang w:val="en-US"/>
        </w:rPr>
      </w:pPr>
      <w:r w:rsidRPr="009E2CEA">
        <w:rPr>
          <w:rFonts w:ascii="Times New Roman" w:hAnsi="Times New Roman"/>
          <w:b/>
          <w:sz w:val="24"/>
          <w:szCs w:val="24"/>
          <w:lang w:val="en-US"/>
        </w:rPr>
        <w:t>Technical specification and work schedule</w:t>
      </w:r>
    </w:p>
    <w:p w:rsidR="002E1202" w:rsidRPr="00141BED" w:rsidRDefault="002E1202" w:rsidP="00141BED">
      <w:pPr>
        <w:spacing w:after="0" w:line="360" w:lineRule="auto"/>
        <w:jc w:val="center"/>
        <w:rPr>
          <w:rFonts w:ascii="Times New Roman" w:hAnsi="Times New Roman"/>
          <w:sz w:val="24"/>
          <w:szCs w:val="24"/>
          <w:lang w:val="en-US"/>
        </w:rPr>
      </w:pPr>
    </w:p>
    <w:p w:rsidR="00A820F1" w:rsidRPr="00141BED" w:rsidRDefault="002E1202" w:rsidP="00141BED">
      <w:pPr>
        <w:pStyle w:val="a8"/>
        <w:spacing w:line="360" w:lineRule="auto"/>
        <w:jc w:val="center"/>
        <w:rPr>
          <w:rFonts w:ascii="Times New Roman" w:eastAsia="Calibri" w:hAnsi="Times New Roman"/>
          <w:sz w:val="24"/>
          <w:szCs w:val="24"/>
        </w:rPr>
      </w:pPr>
      <w:r w:rsidRPr="00141BED">
        <w:rPr>
          <w:rFonts w:ascii="Times New Roman" w:eastAsia="Calibri" w:hAnsi="Times New Roman"/>
          <w:sz w:val="24"/>
          <w:szCs w:val="24"/>
        </w:rPr>
        <w:t>Under contract no. _ _ _ _ _ from __________________2018</w:t>
      </w:r>
    </w:p>
    <w:p w:rsidR="002E1202" w:rsidRPr="00141BED" w:rsidRDefault="002E1202" w:rsidP="00141BED">
      <w:pPr>
        <w:pStyle w:val="a8"/>
        <w:spacing w:line="360" w:lineRule="auto"/>
        <w:ind w:firstLine="709"/>
        <w:rPr>
          <w:rFonts w:ascii="Times New Roman" w:hAnsi="Times New Roman"/>
          <w:b/>
          <w:i/>
          <w:sz w:val="24"/>
          <w:szCs w:val="24"/>
        </w:rPr>
      </w:pPr>
    </w:p>
    <w:p w:rsidR="00301F3F" w:rsidRPr="00141BED" w:rsidRDefault="00301F3F" w:rsidP="00141BED">
      <w:pPr>
        <w:pStyle w:val="a8"/>
        <w:spacing w:line="360" w:lineRule="auto"/>
        <w:jc w:val="both"/>
        <w:rPr>
          <w:rFonts w:ascii="Times New Roman" w:hAnsi="Times New Roman"/>
          <w:b/>
          <w:sz w:val="24"/>
          <w:szCs w:val="24"/>
        </w:rPr>
      </w:pPr>
      <w:r w:rsidRPr="00141BED">
        <w:rPr>
          <w:rFonts w:ascii="Times New Roman" w:hAnsi="Times New Roman"/>
          <w:b/>
          <w:sz w:val="24"/>
          <w:szCs w:val="24"/>
        </w:rPr>
        <w:t>1. NAME OF THE EXECUTOR</w:t>
      </w:r>
    </w:p>
    <w:p w:rsidR="00A820F1" w:rsidRPr="00141BED" w:rsidRDefault="00301F3F" w:rsidP="00141BED">
      <w:pPr>
        <w:pStyle w:val="a8"/>
        <w:spacing w:line="360" w:lineRule="auto"/>
        <w:jc w:val="center"/>
        <w:rPr>
          <w:rFonts w:ascii="Times New Roman" w:hAnsi="Times New Roman"/>
          <w:b/>
          <w:sz w:val="24"/>
          <w:szCs w:val="24"/>
        </w:rPr>
      </w:pPr>
      <w:r w:rsidRPr="00141BED">
        <w:rPr>
          <w:rFonts w:ascii="Times New Roman" w:hAnsi="Times New Roman"/>
          <w:b/>
          <w:sz w:val="24"/>
          <w:szCs w:val="24"/>
        </w:rPr>
        <w:t>"KAZAKH RESEARCH INSTITUTE OF FORESTRY AND AGROFORESTRY" LLP</w:t>
      </w:r>
    </w:p>
    <w:p w:rsidR="00301F3F" w:rsidRPr="00141BED" w:rsidRDefault="00301F3F" w:rsidP="00141BED">
      <w:pPr>
        <w:pStyle w:val="a8"/>
        <w:spacing w:line="360" w:lineRule="auto"/>
        <w:jc w:val="both"/>
        <w:rPr>
          <w:rFonts w:ascii="Times New Roman" w:hAnsi="Times New Roman"/>
          <w:sz w:val="24"/>
          <w:szCs w:val="24"/>
        </w:rPr>
      </w:pPr>
    </w:p>
    <w:p w:rsidR="00061CDF" w:rsidRPr="00141BED" w:rsidRDefault="00A820F1" w:rsidP="00141BED">
      <w:pPr>
        <w:pStyle w:val="a8"/>
        <w:spacing w:line="360" w:lineRule="auto"/>
        <w:ind w:firstLine="709"/>
        <w:jc w:val="both"/>
        <w:rPr>
          <w:rFonts w:ascii="Times New Roman" w:hAnsi="Times New Roman"/>
          <w:sz w:val="24"/>
          <w:szCs w:val="24"/>
        </w:rPr>
      </w:pPr>
      <w:r w:rsidRPr="00141BED">
        <w:rPr>
          <w:rFonts w:ascii="Times New Roman" w:hAnsi="Times New Roman"/>
          <w:sz w:val="24"/>
          <w:szCs w:val="24"/>
        </w:rPr>
        <w:t xml:space="preserve">1.1 </w:t>
      </w:r>
      <w:r w:rsidR="00061CDF" w:rsidRPr="00141BED">
        <w:rPr>
          <w:rFonts w:ascii="Times New Roman" w:hAnsi="Times New Roman"/>
          <w:sz w:val="24"/>
          <w:szCs w:val="24"/>
        </w:rPr>
        <w:t>Priority: rational use of natural resources, including water resources, geology, processing, new materials and technologies, safe products and construction.</w:t>
      </w:r>
    </w:p>
    <w:p w:rsidR="00061CDF" w:rsidRPr="00141BED" w:rsidRDefault="00061CDF" w:rsidP="00141BED">
      <w:pPr>
        <w:pStyle w:val="a8"/>
        <w:spacing w:line="360" w:lineRule="auto"/>
        <w:ind w:firstLine="709"/>
        <w:jc w:val="both"/>
        <w:rPr>
          <w:rFonts w:ascii="Times New Roman" w:hAnsi="Times New Roman"/>
          <w:sz w:val="24"/>
          <w:szCs w:val="24"/>
        </w:rPr>
      </w:pPr>
      <w:r w:rsidRPr="00141BED">
        <w:rPr>
          <w:rFonts w:ascii="Times New Roman" w:hAnsi="Times New Roman"/>
          <w:sz w:val="24"/>
          <w:szCs w:val="24"/>
        </w:rPr>
        <w:t>1.2 Sub-priority: environmental monitoring and green technologies.</w:t>
      </w:r>
    </w:p>
    <w:p w:rsidR="00061CDF" w:rsidRPr="00141BED" w:rsidRDefault="00061CDF" w:rsidP="00141BED">
      <w:pPr>
        <w:pStyle w:val="a8"/>
        <w:spacing w:line="360" w:lineRule="auto"/>
        <w:ind w:firstLine="709"/>
        <w:jc w:val="both"/>
        <w:rPr>
          <w:rFonts w:ascii="Times New Roman" w:hAnsi="Times New Roman"/>
          <w:sz w:val="24"/>
          <w:szCs w:val="24"/>
        </w:rPr>
      </w:pPr>
      <w:r w:rsidRPr="00141BED">
        <w:rPr>
          <w:rFonts w:ascii="Times New Roman" w:hAnsi="Times New Roman"/>
          <w:sz w:val="24"/>
          <w:szCs w:val="24"/>
        </w:rPr>
        <w:t>1.3 Project topic: IRN no. AP05131107 "Study of climate and anthropogenic dynamics of pine forests in Kazakhstan using dendrochronology methods".</w:t>
      </w:r>
    </w:p>
    <w:p w:rsidR="00061CDF" w:rsidRPr="00141BED" w:rsidRDefault="00A820F1" w:rsidP="00141BED">
      <w:pPr>
        <w:pStyle w:val="a8"/>
        <w:spacing w:line="360" w:lineRule="auto"/>
        <w:ind w:firstLine="709"/>
        <w:jc w:val="both"/>
        <w:rPr>
          <w:rFonts w:ascii="Times New Roman" w:hAnsi="Times New Roman"/>
          <w:sz w:val="24"/>
          <w:szCs w:val="24"/>
        </w:rPr>
      </w:pPr>
      <w:r w:rsidRPr="00141BED">
        <w:rPr>
          <w:rFonts w:ascii="Times New Roman" w:hAnsi="Times New Roman"/>
          <w:sz w:val="24"/>
          <w:szCs w:val="24"/>
        </w:rPr>
        <w:t xml:space="preserve">1.4 </w:t>
      </w:r>
      <w:r w:rsidR="00061CDF" w:rsidRPr="00141BED">
        <w:rPr>
          <w:rFonts w:ascii="Times New Roman" w:hAnsi="Times New Roman"/>
          <w:sz w:val="24"/>
          <w:szCs w:val="24"/>
        </w:rPr>
        <w:t xml:space="preserve">The total amount of the project is </w:t>
      </w:r>
      <w:r w:rsidR="00061CDF" w:rsidRPr="00141BED">
        <w:rPr>
          <w:rFonts w:ascii="Times New Roman" w:hAnsi="Times New Roman"/>
          <w:i/>
          <w:sz w:val="24"/>
          <w:szCs w:val="24"/>
        </w:rPr>
        <w:t>18120000</w:t>
      </w:r>
      <w:r w:rsidR="00061CDF" w:rsidRPr="00141BED">
        <w:rPr>
          <w:rFonts w:ascii="Times New Roman" w:hAnsi="Times New Roman"/>
          <w:sz w:val="24"/>
          <w:szCs w:val="24"/>
        </w:rPr>
        <w:t xml:space="preserve"> (</w:t>
      </w:r>
      <w:r w:rsidR="00061CDF" w:rsidRPr="00141BED">
        <w:rPr>
          <w:rFonts w:ascii="Times New Roman" w:hAnsi="Times New Roman"/>
          <w:i/>
          <w:sz w:val="24"/>
          <w:szCs w:val="24"/>
        </w:rPr>
        <w:t>eighteen million one hundred and twenty thousand</w:t>
      </w:r>
      <w:r w:rsidR="00061CDF" w:rsidRPr="00141BED">
        <w:rPr>
          <w:rFonts w:ascii="Times New Roman" w:hAnsi="Times New Roman"/>
          <w:sz w:val="24"/>
          <w:szCs w:val="24"/>
        </w:rPr>
        <w:t xml:space="preserve">) </w:t>
      </w:r>
      <w:r w:rsidR="00061CDF" w:rsidRPr="00141BED">
        <w:rPr>
          <w:rFonts w:ascii="Times New Roman" w:hAnsi="Times New Roman"/>
          <w:i/>
          <w:sz w:val="24"/>
          <w:szCs w:val="24"/>
        </w:rPr>
        <w:t>tenge</w:t>
      </w:r>
      <w:r w:rsidR="00061CDF" w:rsidRPr="00141BED">
        <w:rPr>
          <w:rFonts w:ascii="Times New Roman" w:hAnsi="Times New Roman"/>
          <w:sz w:val="24"/>
          <w:szCs w:val="24"/>
        </w:rPr>
        <w:t>, including broken down by year, for the performance of works in accordance with paragraph 3:</w:t>
      </w:r>
    </w:p>
    <w:p w:rsidR="00061CDF" w:rsidRPr="00141BED" w:rsidRDefault="00061CDF" w:rsidP="00141BED">
      <w:pPr>
        <w:pStyle w:val="a8"/>
        <w:spacing w:line="360" w:lineRule="auto"/>
        <w:ind w:firstLine="709"/>
        <w:jc w:val="both"/>
        <w:rPr>
          <w:rFonts w:ascii="Times New Roman" w:hAnsi="Times New Roman"/>
          <w:sz w:val="24"/>
          <w:szCs w:val="24"/>
        </w:rPr>
      </w:pPr>
      <w:r w:rsidRPr="00141BED">
        <w:rPr>
          <w:rFonts w:ascii="Times New Roman" w:hAnsi="Times New Roman"/>
          <w:sz w:val="24"/>
          <w:szCs w:val="24"/>
        </w:rPr>
        <w:t xml:space="preserve">- </w:t>
      </w:r>
      <w:proofErr w:type="gramStart"/>
      <w:r w:rsidRPr="00141BED">
        <w:rPr>
          <w:rFonts w:ascii="Times New Roman" w:hAnsi="Times New Roman"/>
          <w:sz w:val="24"/>
          <w:szCs w:val="24"/>
        </w:rPr>
        <w:t>for</w:t>
      </w:r>
      <w:proofErr w:type="gramEnd"/>
      <w:r w:rsidRPr="00141BED">
        <w:rPr>
          <w:rFonts w:ascii="Times New Roman" w:hAnsi="Times New Roman"/>
          <w:sz w:val="24"/>
          <w:szCs w:val="24"/>
        </w:rPr>
        <w:t xml:space="preserve"> 2018 - in the amount of </w:t>
      </w:r>
      <w:r w:rsidRPr="00141BED">
        <w:rPr>
          <w:rFonts w:ascii="Times New Roman" w:hAnsi="Times New Roman"/>
          <w:i/>
          <w:sz w:val="24"/>
          <w:szCs w:val="24"/>
        </w:rPr>
        <w:t xml:space="preserve">6000000 </w:t>
      </w:r>
      <w:r w:rsidRPr="00141BED">
        <w:rPr>
          <w:rFonts w:ascii="Times New Roman" w:hAnsi="Times New Roman"/>
          <w:sz w:val="24"/>
          <w:szCs w:val="24"/>
        </w:rPr>
        <w:t xml:space="preserve">(six million) </w:t>
      </w:r>
      <w:r w:rsidRPr="00141BED">
        <w:rPr>
          <w:rFonts w:ascii="Times New Roman" w:hAnsi="Times New Roman"/>
          <w:i/>
          <w:sz w:val="24"/>
          <w:szCs w:val="24"/>
        </w:rPr>
        <w:t>tenge</w:t>
      </w:r>
      <w:r w:rsidRPr="00141BED">
        <w:rPr>
          <w:rFonts w:ascii="Times New Roman" w:hAnsi="Times New Roman"/>
          <w:sz w:val="24"/>
          <w:szCs w:val="24"/>
        </w:rPr>
        <w:t>;</w:t>
      </w:r>
    </w:p>
    <w:p w:rsidR="00061CDF" w:rsidRPr="00141BED" w:rsidRDefault="00061CDF" w:rsidP="00141BED">
      <w:pPr>
        <w:pStyle w:val="a8"/>
        <w:spacing w:line="360" w:lineRule="auto"/>
        <w:ind w:firstLine="709"/>
        <w:jc w:val="both"/>
        <w:rPr>
          <w:rFonts w:ascii="Times New Roman" w:hAnsi="Times New Roman"/>
          <w:sz w:val="24"/>
          <w:szCs w:val="24"/>
        </w:rPr>
      </w:pPr>
      <w:r w:rsidRPr="00141BED">
        <w:rPr>
          <w:rFonts w:ascii="Times New Roman" w:hAnsi="Times New Roman"/>
          <w:sz w:val="24"/>
          <w:szCs w:val="24"/>
        </w:rPr>
        <w:t xml:space="preserve">- </w:t>
      </w:r>
      <w:proofErr w:type="gramStart"/>
      <w:r w:rsidRPr="00141BED">
        <w:rPr>
          <w:rFonts w:ascii="Times New Roman" w:hAnsi="Times New Roman"/>
          <w:sz w:val="24"/>
          <w:szCs w:val="24"/>
        </w:rPr>
        <w:t>for</w:t>
      </w:r>
      <w:proofErr w:type="gramEnd"/>
      <w:r w:rsidRPr="00141BED">
        <w:rPr>
          <w:rFonts w:ascii="Times New Roman" w:hAnsi="Times New Roman"/>
          <w:sz w:val="24"/>
          <w:szCs w:val="24"/>
        </w:rPr>
        <w:t xml:space="preserve"> 2019 - in the amount of </w:t>
      </w:r>
      <w:r w:rsidRPr="00141BED">
        <w:rPr>
          <w:rFonts w:ascii="Times New Roman" w:hAnsi="Times New Roman"/>
          <w:i/>
          <w:sz w:val="24"/>
          <w:szCs w:val="24"/>
        </w:rPr>
        <w:t>6054000</w:t>
      </w:r>
      <w:r w:rsidRPr="00141BED">
        <w:rPr>
          <w:rFonts w:ascii="Times New Roman" w:hAnsi="Times New Roman"/>
          <w:sz w:val="24"/>
          <w:szCs w:val="24"/>
        </w:rPr>
        <w:t xml:space="preserve"> (six million fifty-four thousand) </w:t>
      </w:r>
      <w:r w:rsidRPr="00141BED">
        <w:rPr>
          <w:rFonts w:ascii="Times New Roman" w:hAnsi="Times New Roman"/>
          <w:i/>
          <w:sz w:val="24"/>
          <w:szCs w:val="24"/>
        </w:rPr>
        <w:t>tenge;</w:t>
      </w:r>
    </w:p>
    <w:p w:rsidR="00061CDF" w:rsidRPr="00141BED" w:rsidRDefault="00061CDF" w:rsidP="00141BED">
      <w:pPr>
        <w:pStyle w:val="a8"/>
        <w:spacing w:line="360" w:lineRule="auto"/>
        <w:ind w:firstLine="709"/>
        <w:jc w:val="both"/>
        <w:rPr>
          <w:rFonts w:ascii="Times New Roman" w:hAnsi="Times New Roman"/>
          <w:sz w:val="24"/>
          <w:szCs w:val="24"/>
        </w:rPr>
      </w:pPr>
      <w:r w:rsidRPr="00141BED">
        <w:rPr>
          <w:rFonts w:ascii="Times New Roman" w:hAnsi="Times New Roman"/>
          <w:sz w:val="24"/>
          <w:szCs w:val="24"/>
        </w:rPr>
        <w:t xml:space="preserve">- </w:t>
      </w:r>
      <w:proofErr w:type="gramStart"/>
      <w:r w:rsidRPr="00141BED">
        <w:rPr>
          <w:rFonts w:ascii="Times New Roman" w:hAnsi="Times New Roman"/>
          <w:sz w:val="24"/>
          <w:szCs w:val="24"/>
        </w:rPr>
        <w:t>for</w:t>
      </w:r>
      <w:proofErr w:type="gramEnd"/>
      <w:r w:rsidRPr="00141BED">
        <w:rPr>
          <w:rFonts w:ascii="Times New Roman" w:hAnsi="Times New Roman"/>
          <w:sz w:val="24"/>
          <w:szCs w:val="24"/>
        </w:rPr>
        <w:t xml:space="preserve"> 2020 - in the amount of </w:t>
      </w:r>
      <w:r w:rsidRPr="00141BED">
        <w:rPr>
          <w:rFonts w:ascii="Times New Roman" w:hAnsi="Times New Roman"/>
          <w:i/>
          <w:sz w:val="24"/>
          <w:szCs w:val="24"/>
        </w:rPr>
        <w:t xml:space="preserve">6066000 </w:t>
      </w:r>
      <w:r w:rsidRPr="00141BED">
        <w:rPr>
          <w:rFonts w:ascii="Times New Roman" w:hAnsi="Times New Roman"/>
          <w:sz w:val="24"/>
          <w:szCs w:val="24"/>
        </w:rPr>
        <w:t xml:space="preserve">(six million sixty-six thousand) </w:t>
      </w:r>
      <w:r w:rsidRPr="00141BED">
        <w:rPr>
          <w:rFonts w:ascii="Times New Roman" w:hAnsi="Times New Roman"/>
          <w:i/>
          <w:sz w:val="24"/>
          <w:szCs w:val="24"/>
        </w:rPr>
        <w:t>tenge</w:t>
      </w:r>
      <w:r w:rsidRPr="00141BED">
        <w:rPr>
          <w:rFonts w:ascii="Times New Roman" w:hAnsi="Times New Roman"/>
          <w:sz w:val="24"/>
          <w:szCs w:val="24"/>
        </w:rPr>
        <w:t>.</w:t>
      </w:r>
    </w:p>
    <w:p w:rsidR="00061CDF" w:rsidRPr="00141BED" w:rsidRDefault="00061CDF" w:rsidP="00141BED">
      <w:pPr>
        <w:pStyle w:val="a8"/>
        <w:spacing w:line="360" w:lineRule="auto"/>
        <w:ind w:firstLine="709"/>
        <w:jc w:val="both"/>
        <w:rPr>
          <w:rFonts w:ascii="Times New Roman" w:hAnsi="Times New Roman"/>
          <w:sz w:val="24"/>
          <w:szCs w:val="24"/>
        </w:rPr>
      </w:pPr>
    </w:p>
    <w:p w:rsidR="008C33DE" w:rsidRPr="00141BED" w:rsidRDefault="00A820F1" w:rsidP="00141BED">
      <w:pPr>
        <w:pStyle w:val="a8"/>
        <w:spacing w:line="360" w:lineRule="auto"/>
        <w:ind w:firstLine="567"/>
        <w:jc w:val="center"/>
        <w:rPr>
          <w:rStyle w:val="s0"/>
          <w:b/>
          <w:i/>
          <w:color w:val="auto"/>
          <w:sz w:val="24"/>
          <w:szCs w:val="24"/>
        </w:rPr>
      </w:pPr>
      <w:r w:rsidRPr="00141BED">
        <w:rPr>
          <w:rStyle w:val="s0"/>
          <w:b/>
          <w:i/>
          <w:color w:val="auto"/>
          <w:sz w:val="24"/>
          <w:szCs w:val="24"/>
        </w:rPr>
        <w:t xml:space="preserve">2. </w:t>
      </w:r>
      <w:r w:rsidR="008C33DE" w:rsidRPr="00141BED">
        <w:rPr>
          <w:rStyle w:val="s0"/>
          <w:b/>
          <w:i/>
          <w:color w:val="auto"/>
          <w:sz w:val="24"/>
          <w:szCs w:val="24"/>
        </w:rPr>
        <w:t>Characteristics of scientific and technical products by qualification criteria and economic indicators</w:t>
      </w:r>
    </w:p>
    <w:p w:rsidR="008C33DE" w:rsidRPr="00141BED" w:rsidRDefault="00A820F1" w:rsidP="00141BED">
      <w:pPr>
        <w:pStyle w:val="a8"/>
        <w:spacing w:line="360" w:lineRule="auto"/>
        <w:ind w:firstLine="567"/>
        <w:rPr>
          <w:rStyle w:val="s0"/>
          <w:color w:val="auto"/>
          <w:sz w:val="24"/>
          <w:szCs w:val="24"/>
        </w:rPr>
      </w:pPr>
      <w:r w:rsidRPr="00141BED">
        <w:rPr>
          <w:rStyle w:val="s0"/>
          <w:b/>
          <w:color w:val="auto"/>
          <w:sz w:val="24"/>
          <w:szCs w:val="24"/>
        </w:rPr>
        <w:t>2.1</w:t>
      </w:r>
      <w:r w:rsidRPr="00141BED">
        <w:rPr>
          <w:rStyle w:val="s0"/>
          <w:color w:val="auto"/>
          <w:sz w:val="24"/>
          <w:szCs w:val="24"/>
        </w:rPr>
        <w:t xml:space="preserve"> </w:t>
      </w:r>
      <w:r w:rsidR="008C33DE" w:rsidRPr="00141BED">
        <w:rPr>
          <w:rStyle w:val="s0"/>
          <w:color w:val="auto"/>
          <w:sz w:val="24"/>
          <w:szCs w:val="24"/>
        </w:rPr>
        <w:t xml:space="preserve">Field of work: </w:t>
      </w:r>
      <w:r w:rsidR="008C33DE" w:rsidRPr="00141BED">
        <w:rPr>
          <w:rStyle w:val="s0"/>
          <w:i/>
          <w:color w:val="auto"/>
          <w:sz w:val="24"/>
          <w:szCs w:val="24"/>
        </w:rPr>
        <w:t>monitoring the state of forest stands</w:t>
      </w:r>
    </w:p>
    <w:p w:rsidR="008C33DE" w:rsidRPr="00141BED" w:rsidRDefault="008C33DE" w:rsidP="00141BED">
      <w:pPr>
        <w:pStyle w:val="a8"/>
        <w:spacing w:line="360" w:lineRule="auto"/>
        <w:ind w:firstLine="567"/>
        <w:rPr>
          <w:rStyle w:val="s0"/>
          <w:color w:val="auto"/>
          <w:sz w:val="24"/>
          <w:szCs w:val="24"/>
        </w:rPr>
      </w:pPr>
      <w:r w:rsidRPr="00141BED">
        <w:rPr>
          <w:rStyle w:val="s0"/>
          <w:b/>
          <w:color w:val="auto"/>
          <w:sz w:val="24"/>
          <w:szCs w:val="24"/>
        </w:rPr>
        <w:t>2.2</w:t>
      </w:r>
      <w:r w:rsidRPr="00141BED">
        <w:rPr>
          <w:rStyle w:val="s0"/>
          <w:color w:val="auto"/>
          <w:sz w:val="24"/>
          <w:szCs w:val="24"/>
        </w:rPr>
        <w:t xml:space="preserve"> Scope: </w:t>
      </w:r>
      <w:r w:rsidRPr="00141BED">
        <w:rPr>
          <w:rStyle w:val="s0"/>
          <w:i/>
          <w:color w:val="auto"/>
          <w:sz w:val="24"/>
          <w:szCs w:val="24"/>
        </w:rPr>
        <w:t>forestry, educational process</w:t>
      </w:r>
      <w:r w:rsidRPr="00141BED">
        <w:rPr>
          <w:rStyle w:val="s0"/>
          <w:color w:val="auto"/>
          <w:sz w:val="24"/>
          <w:szCs w:val="24"/>
        </w:rPr>
        <w:t>.</w:t>
      </w:r>
    </w:p>
    <w:p w:rsidR="00A820F1" w:rsidRPr="00141BED" w:rsidRDefault="008C33DE" w:rsidP="00141BED">
      <w:pPr>
        <w:pStyle w:val="a8"/>
        <w:spacing w:line="360" w:lineRule="auto"/>
        <w:ind w:firstLine="567"/>
        <w:rPr>
          <w:rStyle w:val="s0"/>
          <w:color w:val="auto"/>
          <w:sz w:val="24"/>
          <w:szCs w:val="24"/>
        </w:rPr>
      </w:pPr>
      <w:r w:rsidRPr="00141BED">
        <w:rPr>
          <w:rStyle w:val="s0"/>
          <w:b/>
          <w:color w:val="auto"/>
          <w:sz w:val="24"/>
          <w:szCs w:val="24"/>
        </w:rPr>
        <w:t>2.3</w:t>
      </w:r>
      <w:r w:rsidRPr="00141BED">
        <w:rPr>
          <w:rStyle w:val="s0"/>
          <w:color w:val="auto"/>
          <w:sz w:val="24"/>
          <w:szCs w:val="24"/>
        </w:rPr>
        <w:t xml:space="preserve"> Final result:</w:t>
      </w:r>
    </w:p>
    <w:p w:rsidR="00A820F1" w:rsidRPr="00141BED" w:rsidRDefault="00A820F1" w:rsidP="00141BED">
      <w:pPr>
        <w:pStyle w:val="a8"/>
        <w:spacing w:line="360" w:lineRule="auto"/>
        <w:ind w:firstLine="709"/>
        <w:jc w:val="both"/>
        <w:rPr>
          <w:rStyle w:val="s0"/>
          <w:i/>
          <w:color w:val="auto"/>
          <w:sz w:val="24"/>
          <w:szCs w:val="24"/>
        </w:rPr>
      </w:pPr>
      <w:r w:rsidRPr="00141BED">
        <w:rPr>
          <w:rStyle w:val="s0"/>
          <w:color w:val="auto"/>
          <w:sz w:val="24"/>
          <w:szCs w:val="24"/>
        </w:rPr>
        <w:t xml:space="preserve">- </w:t>
      </w:r>
      <w:proofErr w:type="gramStart"/>
      <w:r w:rsidR="008C33DE" w:rsidRPr="00141BED">
        <w:rPr>
          <w:rStyle w:val="s0"/>
          <w:color w:val="auto"/>
          <w:sz w:val="24"/>
          <w:szCs w:val="24"/>
        </w:rPr>
        <w:t>for</w:t>
      </w:r>
      <w:proofErr w:type="gramEnd"/>
      <w:r w:rsidR="008C33DE" w:rsidRPr="00141BED">
        <w:rPr>
          <w:rStyle w:val="s0"/>
          <w:color w:val="auto"/>
          <w:sz w:val="24"/>
          <w:szCs w:val="24"/>
        </w:rPr>
        <w:t xml:space="preserve"> 2018</w:t>
      </w:r>
      <w:r w:rsidRPr="00141BED">
        <w:rPr>
          <w:rStyle w:val="s0"/>
          <w:color w:val="auto"/>
          <w:sz w:val="24"/>
          <w:szCs w:val="24"/>
        </w:rPr>
        <w:t xml:space="preserve">: </w:t>
      </w:r>
      <w:r w:rsidR="008C33DE" w:rsidRPr="00141BED">
        <w:rPr>
          <w:rStyle w:val="s0"/>
          <w:i/>
          <w:color w:val="auto"/>
          <w:sz w:val="24"/>
          <w:szCs w:val="24"/>
        </w:rPr>
        <w:t>Assessment of the influence of climatic factors (precipitation, temperature) and fire frequency on the formation of radial increment of Scots pine (Pinus sylvestris L.) using dendroclimatic analysis.</w:t>
      </w:r>
    </w:p>
    <w:p w:rsidR="008C33DE" w:rsidRPr="00141BED" w:rsidRDefault="00A820F1" w:rsidP="00141BED">
      <w:pPr>
        <w:pStyle w:val="a8"/>
        <w:spacing w:line="360" w:lineRule="auto"/>
        <w:ind w:firstLine="709"/>
        <w:jc w:val="both"/>
        <w:rPr>
          <w:rStyle w:val="s0"/>
          <w:i/>
          <w:color w:val="auto"/>
          <w:sz w:val="24"/>
          <w:szCs w:val="24"/>
        </w:rPr>
      </w:pPr>
      <w:r w:rsidRPr="00141BED">
        <w:rPr>
          <w:rStyle w:val="s0"/>
          <w:color w:val="auto"/>
          <w:sz w:val="24"/>
          <w:szCs w:val="24"/>
        </w:rPr>
        <w:t xml:space="preserve">- </w:t>
      </w:r>
      <w:proofErr w:type="gramStart"/>
      <w:r w:rsidR="008C33DE" w:rsidRPr="00141BED">
        <w:rPr>
          <w:rStyle w:val="s0"/>
          <w:color w:val="auto"/>
          <w:sz w:val="24"/>
          <w:szCs w:val="24"/>
        </w:rPr>
        <w:t>for</w:t>
      </w:r>
      <w:proofErr w:type="gramEnd"/>
      <w:r w:rsidR="008C33DE" w:rsidRPr="00141BED">
        <w:rPr>
          <w:rStyle w:val="s0"/>
          <w:color w:val="auto"/>
          <w:sz w:val="24"/>
          <w:szCs w:val="24"/>
        </w:rPr>
        <w:t xml:space="preserve"> 2019</w:t>
      </w:r>
      <w:r w:rsidRPr="00141BED">
        <w:rPr>
          <w:rStyle w:val="s0"/>
          <w:color w:val="auto"/>
          <w:sz w:val="24"/>
          <w:szCs w:val="24"/>
        </w:rPr>
        <w:t xml:space="preserve">: </w:t>
      </w:r>
      <w:r w:rsidR="008C33DE" w:rsidRPr="00141BED">
        <w:rPr>
          <w:rStyle w:val="s0"/>
          <w:i/>
          <w:color w:val="auto"/>
          <w:sz w:val="24"/>
          <w:szCs w:val="24"/>
        </w:rPr>
        <w:t>Assessment of the impact of forestry activities – tending felling of various intensity on the dynamics of annual radial increment of Scots pine (Pinus sylvestris L.) using tree-ring chronologies. Publication of 3 articles in peer-reviewed foreign scientific publications with a non-zero impact factor.</w:t>
      </w:r>
    </w:p>
    <w:p w:rsidR="008C33DE" w:rsidRPr="00141BED" w:rsidRDefault="00A820F1" w:rsidP="00141BED">
      <w:pPr>
        <w:pStyle w:val="a8"/>
        <w:spacing w:line="360" w:lineRule="auto"/>
        <w:ind w:firstLine="709"/>
        <w:jc w:val="both"/>
        <w:rPr>
          <w:rStyle w:val="s0"/>
          <w:i/>
          <w:color w:val="auto"/>
          <w:sz w:val="24"/>
          <w:szCs w:val="24"/>
        </w:rPr>
      </w:pPr>
      <w:r w:rsidRPr="00141BED">
        <w:rPr>
          <w:rStyle w:val="s0"/>
          <w:color w:val="auto"/>
          <w:sz w:val="24"/>
          <w:szCs w:val="24"/>
        </w:rPr>
        <w:t xml:space="preserve">- </w:t>
      </w:r>
      <w:proofErr w:type="gramStart"/>
      <w:r w:rsidR="008C33DE" w:rsidRPr="00141BED">
        <w:rPr>
          <w:rStyle w:val="s0"/>
          <w:color w:val="auto"/>
          <w:sz w:val="24"/>
          <w:szCs w:val="24"/>
        </w:rPr>
        <w:t>for</w:t>
      </w:r>
      <w:proofErr w:type="gramEnd"/>
      <w:r w:rsidR="008C33DE" w:rsidRPr="00141BED">
        <w:rPr>
          <w:rStyle w:val="s0"/>
          <w:color w:val="auto"/>
          <w:sz w:val="24"/>
          <w:szCs w:val="24"/>
        </w:rPr>
        <w:t xml:space="preserve"> 2020</w:t>
      </w:r>
      <w:r w:rsidRPr="00141BED">
        <w:rPr>
          <w:rStyle w:val="s0"/>
          <w:color w:val="auto"/>
          <w:sz w:val="24"/>
          <w:szCs w:val="24"/>
        </w:rPr>
        <w:t xml:space="preserve">: </w:t>
      </w:r>
      <w:r w:rsidR="008C33DE" w:rsidRPr="00141BED">
        <w:rPr>
          <w:rStyle w:val="s0"/>
          <w:i/>
          <w:color w:val="auto"/>
          <w:sz w:val="24"/>
          <w:szCs w:val="24"/>
        </w:rPr>
        <w:t xml:space="preserve">Assessment of the influence of astrophysical factors (cyclical solar activity) on the formation of radial increment of Scots pine (Pinus sylvestris L.) by dendroclimatic analysis </w:t>
      </w:r>
      <w:r w:rsidR="008C33DE" w:rsidRPr="00141BED">
        <w:rPr>
          <w:rStyle w:val="s0"/>
          <w:i/>
          <w:color w:val="auto"/>
          <w:sz w:val="24"/>
          <w:szCs w:val="24"/>
        </w:rPr>
        <w:lastRenderedPageBreak/>
        <w:t xml:space="preserve">methods and creation of a forecast of pine plantations development on this basis. Development of methodological recommendations for forest management activities aimed at improving the biological stability and protective functions of pine forests in Kazakhstan. Publication of 1 article in peer-reviewed foreign scientific journal indexed by the databases Web of Science or Scopus, 2 articles in journals recommended by </w:t>
      </w:r>
      <w:r w:rsidR="008C33DE" w:rsidRPr="00141BED">
        <w:rPr>
          <w:rStyle w:val="s0"/>
          <w:i/>
          <w:color w:val="auto"/>
          <w:sz w:val="24"/>
          <w:szCs w:val="24"/>
          <w:lang w:val="ru-RU"/>
        </w:rPr>
        <w:t>СС</w:t>
      </w:r>
      <w:r w:rsidR="008C33DE" w:rsidRPr="00141BED">
        <w:rPr>
          <w:rStyle w:val="s0"/>
          <w:i/>
          <w:color w:val="auto"/>
          <w:sz w:val="24"/>
          <w:szCs w:val="24"/>
        </w:rPr>
        <w:t xml:space="preserve">FES of the MES of the RK. </w:t>
      </w:r>
    </w:p>
    <w:p w:rsidR="00A820F1" w:rsidRPr="00141BED" w:rsidRDefault="00A820F1" w:rsidP="00141BED">
      <w:pPr>
        <w:pStyle w:val="a8"/>
        <w:spacing w:line="360" w:lineRule="auto"/>
        <w:ind w:firstLine="709"/>
        <w:jc w:val="both"/>
        <w:rPr>
          <w:rStyle w:val="s0"/>
          <w:i/>
          <w:color w:val="auto"/>
          <w:sz w:val="24"/>
          <w:szCs w:val="24"/>
        </w:rPr>
      </w:pPr>
      <w:r w:rsidRPr="00141BED">
        <w:rPr>
          <w:rStyle w:val="s0"/>
          <w:b/>
          <w:color w:val="auto"/>
          <w:sz w:val="24"/>
          <w:szCs w:val="24"/>
        </w:rPr>
        <w:t>2.4</w:t>
      </w:r>
      <w:r w:rsidRPr="00141BED">
        <w:rPr>
          <w:rStyle w:val="s0"/>
          <w:color w:val="auto"/>
          <w:sz w:val="24"/>
          <w:szCs w:val="24"/>
        </w:rPr>
        <w:t xml:space="preserve"> </w:t>
      </w:r>
      <w:r w:rsidR="008C33DE" w:rsidRPr="00141BED">
        <w:rPr>
          <w:rStyle w:val="s0"/>
          <w:color w:val="auto"/>
          <w:sz w:val="24"/>
          <w:szCs w:val="24"/>
        </w:rPr>
        <w:t>Patentability</w:t>
      </w:r>
      <w:r w:rsidRPr="00141BED">
        <w:rPr>
          <w:rStyle w:val="s0"/>
          <w:color w:val="auto"/>
          <w:sz w:val="24"/>
          <w:szCs w:val="24"/>
        </w:rPr>
        <w:t xml:space="preserve">: </w:t>
      </w:r>
      <w:r w:rsidR="008C33DE" w:rsidRPr="00141BED">
        <w:rPr>
          <w:rStyle w:val="s0"/>
          <w:i/>
          <w:color w:val="auto"/>
          <w:sz w:val="24"/>
          <w:szCs w:val="24"/>
        </w:rPr>
        <w:t>According to research data it is possible to obtain a patent for assessing the state of pine plantations using dendrochronology methods</w:t>
      </w:r>
      <w:r w:rsidRPr="00141BED">
        <w:rPr>
          <w:rStyle w:val="s0"/>
          <w:i/>
          <w:color w:val="auto"/>
          <w:sz w:val="24"/>
          <w:szCs w:val="24"/>
        </w:rPr>
        <w:t>.</w:t>
      </w:r>
    </w:p>
    <w:p w:rsidR="008C33DE" w:rsidRPr="00141BED" w:rsidRDefault="00A820F1" w:rsidP="00141BED">
      <w:pPr>
        <w:pStyle w:val="a8"/>
        <w:spacing w:line="360" w:lineRule="auto"/>
        <w:ind w:firstLine="709"/>
        <w:jc w:val="both"/>
        <w:rPr>
          <w:rStyle w:val="s0"/>
          <w:i/>
          <w:color w:val="auto"/>
          <w:sz w:val="24"/>
          <w:szCs w:val="24"/>
        </w:rPr>
      </w:pPr>
      <w:r w:rsidRPr="00141BED">
        <w:rPr>
          <w:rStyle w:val="s0"/>
          <w:b/>
          <w:color w:val="auto"/>
          <w:sz w:val="24"/>
          <w:szCs w:val="24"/>
        </w:rPr>
        <w:t>2.5</w:t>
      </w:r>
      <w:r w:rsidRPr="00141BED">
        <w:rPr>
          <w:rStyle w:val="s0"/>
          <w:color w:val="auto"/>
          <w:sz w:val="24"/>
          <w:szCs w:val="24"/>
        </w:rPr>
        <w:t xml:space="preserve"> </w:t>
      </w:r>
      <w:r w:rsidR="008C33DE" w:rsidRPr="00141BED">
        <w:rPr>
          <w:rStyle w:val="s0"/>
          <w:color w:val="auto"/>
          <w:sz w:val="24"/>
          <w:szCs w:val="24"/>
        </w:rPr>
        <w:t>Scientific and technical level (novelty)</w:t>
      </w:r>
      <w:r w:rsidRPr="00141BED">
        <w:rPr>
          <w:rStyle w:val="s0"/>
          <w:color w:val="auto"/>
          <w:sz w:val="24"/>
          <w:szCs w:val="24"/>
        </w:rPr>
        <w:t xml:space="preserve">: </w:t>
      </w:r>
      <w:r w:rsidR="008C33DE" w:rsidRPr="00141BED">
        <w:rPr>
          <w:rStyle w:val="s0"/>
          <w:i/>
          <w:color w:val="auto"/>
          <w:sz w:val="24"/>
          <w:szCs w:val="24"/>
        </w:rPr>
        <w:t xml:space="preserve">For the first time in the North and East Kazakhstan regions, a comprehensive assessment of the impact of natural and anthropogenic </w:t>
      </w:r>
      <w:r w:rsidR="00593A7D" w:rsidRPr="00141BED">
        <w:rPr>
          <w:rStyle w:val="s0"/>
          <w:i/>
          <w:color w:val="auto"/>
          <w:sz w:val="24"/>
          <w:szCs w:val="24"/>
        </w:rPr>
        <w:t>factors on pine stands will be c</w:t>
      </w:r>
      <w:r w:rsidR="008C33DE" w:rsidRPr="00141BED">
        <w:rPr>
          <w:rStyle w:val="s0"/>
          <w:i/>
          <w:color w:val="auto"/>
          <w:sz w:val="24"/>
          <w:szCs w:val="24"/>
        </w:rPr>
        <w:t>onducted using dendrochronology and dendroclimatology methods.</w:t>
      </w:r>
    </w:p>
    <w:p w:rsidR="00593A7D" w:rsidRPr="00141BED" w:rsidRDefault="00A820F1" w:rsidP="00141BED">
      <w:pPr>
        <w:pStyle w:val="a8"/>
        <w:spacing w:line="360" w:lineRule="auto"/>
        <w:ind w:firstLine="709"/>
        <w:jc w:val="both"/>
        <w:rPr>
          <w:rStyle w:val="s0"/>
          <w:i/>
          <w:color w:val="auto"/>
          <w:sz w:val="24"/>
          <w:szCs w:val="24"/>
        </w:rPr>
      </w:pPr>
      <w:r w:rsidRPr="00141BED">
        <w:rPr>
          <w:rStyle w:val="s0"/>
          <w:b/>
          <w:color w:val="auto"/>
          <w:sz w:val="24"/>
          <w:szCs w:val="24"/>
        </w:rPr>
        <w:t>2.6</w:t>
      </w:r>
      <w:r w:rsidRPr="00141BED">
        <w:rPr>
          <w:rStyle w:val="s0"/>
          <w:color w:val="auto"/>
          <w:sz w:val="24"/>
          <w:szCs w:val="24"/>
        </w:rPr>
        <w:t xml:space="preserve"> </w:t>
      </w:r>
      <w:r w:rsidR="00593A7D" w:rsidRPr="00141BED">
        <w:rPr>
          <w:rStyle w:val="s0"/>
          <w:color w:val="auto"/>
          <w:sz w:val="24"/>
          <w:szCs w:val="24"/>
        </w:rPr>
        <w:t>The use of scientific and technical products is carried out</w:t>
      </w:r>
      <w:r w:rsidRPr="00141BED">
        <w:rPr>
          <w:rStyle w:val="s0"/>
          <w:color w:val="auto"/>
          <w:sz w:val="24"/>
          <w:szCs w:val="24"/>
        </w:rPr>
        <w:t xml:space="preserve">: </w:t>
      </w:r>
      <w:r w:rsidR="00593A7D" w:rsidRPr="00141BED">
        <w:rPr>
          <w:rStyle w:val="s0"/>
          <w:i/>
          <w:color w:val="auto"/>
          <w:sz w:val="24"/>
          <w:szCs w:val="24"/>
        </w:rPr>
        <w:t>specially protected natural territories, state forestry institutions, forest breeding centers, landscaping and design organizations.</w:t>
      </w:r>
    </w:p>
    <w:p w:rsidR="00A820F1" w:rsidRPr="00141BED" w:rsidRDefault="00A820F1" w:rsidP="00141BED">
      <w:pPr>
        <w:pStyle w:val="a8"/>
        <w:spacing w:line="360" w:lineRule="auto"/>
        <w:ind w:firstLine="709"/>
        <w:jc w:val="both"/>
        <w:rPr>
          <w:rStyle w:val="s0"/>
          <w:i/>
          <w:color w:val="auto"/>
          <w:sz w:val="24"/>
          <w:szCs w:val="24"/>
        </w:rPr>
      </w:pPr>
      <w:r w:rsidRPr="00141BED">
        <w:rPr>
          <w:rStyle w:val="s0"/>
          <w:b/>
          <w:color w:val="auto"/>
          <w:sz w:val="24"/>
          <w:szCs w:val="24"/>
        </w:rPr>
        <w:t>2.7</w:t>
      </w:r>
      <w:r w:rsidRPr="00141BED">
        <w:rPr>
          <w:rStyle w:val="s0"/>
          <w:color w:val="auto"/>
          <w:sz w:val="24"/>
          <w:szCs w:val="24"/>
        </w:rPr>
        <w:t xml:space="preserve"> </w:t>
      </w:r>
      <w:r w:rsidR="00593A7D" w:rsidRPr="00141BED">
        <w:rPr>
          <w:rStyle w:val="s0"/>
          <w:color w:val="auto"/>
          <w:sz w:val="24"/>
          <w:szCs w:val="24"/>
        </w:rPr>
        <w:t>Type of use of the result of scientific and (or) scientific and technical activities</w:t>
      </w:r>
      <w:r w:rsidRPr="00141BED">
        <w:rPr>
          <w:rStyle w:val="s0"/>
          <w:color w:val="auto"/>
          <w:sz w:val="24"/>
          <w:szCs w:val="24"/>
        </w:rPr>
        <w:t xml:space="preserve">: </w:t>
      </w:r>
      <w:r w:rsidR="00593A7D" w:rsidRPr="00141BED">
        <w:rPr>
          <w:rStyle w:val="s0"/>
          <w:i/>
          <w:color w:val="auto"/>
          <w:sz w:val="24"/>
          <w:szCs w:val="24"/>
        </w:rPr>
        <w:t>methodological recommendations for forest management activities aimed at improving the biological stability and protective functions of pine forests in Kazakhstan.</w:t>
      </w:r>
    </w:p>
    <w:p w:rsidR="00593A7D" w:rsidRPr="00141BED" w:rsidRDefault="00593A7D" w:rsidP="00141BED">
      <w:pPr>
        <w:pStyle w:val="a8"/>
        <w:spacing w:line="360" w:lineRule="auto"/>
        <w:ind w:firstLine="709"/>
        <w:jc w:val="both"/>
        <w:rPr>
          <w:rStyle w:val="s0"/>
          <w:b/>
          <w:i/>
          <w:color w:val="auto"/>
          <w:sz w:val="24"/>
          <w:szCs w:val="24"/>
        </w:rPr>
      </w:pPr>
    </w:p>
    <w:p w:rsidR="00A820F1" w:rsidRPr="00141BED" w:rsidRDefault="00A820F1" w:rsidP="00141BED">
      <w:pPr>
        <w:pStyle w:val="a8"/>
        <w:spacing w:line="360" w:lineRule="auto"/>
        <w:jc w:val="center"/>
        <w:rPr>
          <w:rStyle w:val="s0"/>
          <w:b/>
          <w:i/>
          <w:color w:val="auto"/>
          <w:sz w:val="24"/>
          <w:szCs w:val="24"/>
        </w:rPr>
      </w:pPr>
      <w:r w:rsidRPr="00141BED">
        <w:rPr>
          <w:rStyle w:val="s0"/>
          <w:b/>
          <w:i/>
          <w:color w:val="auto"/>
          <w:sz w:val="24"/>
          <w:szCs w:val="24"/>
        </w:rPr>
        <w:t xml:space="preserve">3. </w:t>
      </w:r>
      <w:r w:rsidR="00593A7D" w:rsidRPr="00141BED">
        <w:rPr>
          <w:rStyle w:val="s0"/>
          <w:b/>
          <w:i/>
          <w:color w:val="auto"/>
          <w:sz w:val="24"/>
          <w:szCs w:val="24"/>
        </w:rPr>
        <w:t>Name of works, terms of their implementation and results</w:t>
      </w:r>
    </w:p>
    <w:tbl>
      <w:tblPr>
        <w:tblpPr w:leftFromText="180" w:rightFromText="180" w:vertAnchor="text" w:tblpX="-214" w:tblpY="120"/>
        <w:tblW w:w="10538" w:type="dxa"/>
        <w:tblLayout w:type="fixed"/>
        <w:tblCellMar>
          <w:left w:w="70" w:type="dxa"/>
          <w:right w:w="70" w:type="dxa"/>
        </w:tblCellMar>
        <w:tblLook w:val="0000" w:firstRow="0" w:lastRow="0" w:firstColumn="0" w:lastColumn="0" w:noHBand="0" w:noVBand="0"/>
      </w:tblPr>
      <w:tblGrid>
        <w:gridCol w:w="211"/>
        <w:gridCol w:w="568"/>
        <w:gridCol w:w="3260"/>
        <w:gridCol w:w="850"/>
        <w:gridCol w:w="851"/>
        <w:gridCol w:w="4253"/>
        <w:gridCol w:w="545"/>
      </w:tblGrid>
      <w:tr w:rsidR="00141BED" w:rsidRPr="00141BED" w:rsidTr="00C572D3">
        <w:trPr>
          <w:gridAfter w:val="1"/>
          <w:wAfter w:w="545" w:type="dxa"/>
          <w:cantSplit/>
          <w:trHeight w:val="132"/>
        </w:trPr>
        <w:tc>
          <w:tcPr>
            <w:tcW w:w="779" w:type="dxa"/>
            <w:gridSpan w:val="2"/>
            <w:vMerge w:val="restart"/>
            <w:tcBorders>
              <w:top w:val="single" w:sz="4" w:space="0" w:color="auto"/>
              <w:left w:val="single" w:sz="6" w:space="0" w:color="auto"/>
              <w:right w:val="single" w:sz="4" w:space="0" w:color="auto"/>
            </w:tcBorders>
          </w:tcPr>
          <w:p w:rsidR="00A820F1" w:rsidRPr="00141BED" w:rsidRDefault="00593A7D" w:rsidP="00C572D3">
            <w:pPr>
              <w:pStyle w:val="a8"/>
              <w:spacing w:line="360" w:lineRule="auto"/>
              <w:jc w:val="center"/>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Cipher of the task stage</w:t>
            </w:r>
          </w:p>
        </w:tc>
        <w:tc>
          <w:tcPr>
            <w:tcW w:w="3260" w:type="dxa"/>
            <w:vMerge w:val="restart"/>
            <w:tcBorders>
              <w:top w:val="single" w:sz="4" w:space="0" w:color="auto"/>
              <w:left w:val="single" w:sz="4" w:space="0" w:color="auto"/>
              <w:right w:val="single" w:sz="4" w:space="0" w:color="auto"/>
            </w:tcBorders>
          </w:tcPr>
          <w:p w:rsidR="00A820F1" w:rsidRPr="00141BED" w:rsidRDefault="00593A7D" w:rsidP="00C572D3">
            <w:pPr>
              <w:pStyle w:val="a8"/>
              <w:spacing w:line="360" w:lineRule="auto"/>
              <w:jc w:val="center"/>
              <w:rPr>
                <w:rFonts w:ascii="Times New Roman" w:eastAsia="Times New Roman" w:hAnsi="Times New Roman"/>
                <w:sz w:val="24"/>
                <w:szCs w:val="24"/>
                <w:lang w:eastAsia="ar-SA"/>
              </w:rPr>
            </w:pPr>
            <w:r w:rsidRPr="00141BED">
              <w:rPr>
                <w:rFonts w:ascii="Times New Roman" w:eastAsia="Times New Roman" w:hAnsi="Times New Roman"/>
                <w:sz w:val="24"/>
                <w:szCs w:val="24"/>
                <w:lang w:val="kk-KZ" w:eastAsia="ar-SA"/>
              </w:rPr>
              <w:t>Name of work under the contract and the main stages of its implementation</w:t>
            </w:r>
          </w:p>
        </w:tc>
        <w:tc>
          <w:tcPr>
            <w:tcW w:w="1701" w:type="dxa"/>
            <w:gridSpan w:val="2"/>
            <w:tcBorders>
              <w:top w:val="single" w:sz="4" w:space="0" w:color="auto"/>
              <w:left w:val="single" w:sz="4" w:space="0" w:color="auto"/>
              <w:bottom w:val="single" w:sz="4" w:space="0" w:color="auto"/>
              <w:right w:val="single" w:sz="4" w:space="0" w:color="auto"/>
            </w:tcBorders>
          </w:tcPr>
          <w:p w:rsidR="00A820F1" w:rsidRPr="00141BED" w:rsidRDefault="00593A7D" w:rsidP="00C572D3">
            <w:pPr>
              <w:pStyle w:val="a8"/>
              <w:spacing w:line="360" w:lineRule="auto"/>
              <w:jc w:val="center"/>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timeline for compliance</w:t>
            </w:r>
          </w:p>
          <w:p w:rsidR="00593A7D" w:rsidRPr="00141BED" w:rsidRDefault="00593A7D" w:rsidP="00C572D3">
            <w:pPr>
              <w:pStyle w:val="a8"/>
              <w:spacing w:line="360" w:lineRule="auto"/>
              <w:jc w:val="center"/>
              <w:rPr>
                <w:rFonts w:ascii="Times New Roman" w:eastAsia="Times New Roman" w:hAnsi="Times New Roman"/>
                <w:sz w:val="24"/>
                <w:szCs w:val="24"/>
                <w:lang w:eastAsia="ar-SA"/>
              </w:rPr>
            </w:pPr>
            <w:r w:rsidRPr="00141BED">
              <w:rPr>
                <w:rFonts w:ascii="Times New Roman" w:eastAsia="Times New Roman" w:hAnsi="Times New Roman"/>
                <w:sz w:val="24"/>
                <w:szCs w:val="24"/>
                <w:lang w:eastAsia="ar-SA"/>
              </w:rPr>
              <w:t>(deadline)</w:t>
            </w:r>
          </w:p>
        </w:tc>
        <w:tc>
          <w:tcPr>
            <w:tcW w:w="4253" w:type="dxa"/>
            <w:tcBorders>
              <w:top w:val="single" w:sz="4" w:space="0" w:color="auto"/>
              <w:left w:val="single" w:sz="4" w:space="0" w:color="auto"/>
              <w:right w:val="single" w:sz="4" w:space="0" w:color="auto"/>
            </w:tcBorders>
          </w:tcPr>
          <w:p w:rsidR="00A820F1" w:rsidRPr="00141BED" w:rsidRDefault="00531229" w:rsidP="00C572D3">
            <w:pPr>
              <w:pStyle w:val="a8"/>
              <w:spacing w:line="360" w:lineRule="auto"/>
              <w:jc w:val="center"/>
              <w:rPr>
                <w:rFonts w:ascii="Times New Roman" w:eastAsia="Times New Roman" w:hAnsi="Times New Roman"/>
                <w:sz w:val="24"/>
                <w:szCs w:val="24"/>
                <w:lang w:val="ru-RU" w:eastAsia="ar-SA"/>
              </w:rPr>
            </w:pPr>
            <w:r w:rsidRPr="00141BED">
              <w:rPr>
                <w:rFonts w:ascii="Times New Roman" w:eastAsia="Times New Roman" w:hAnsi="Times New Roman"/>
                <w:sz w:val="24"/>
                <w:szCs w:val="24"/>
                <w:lang w:val="ru-RU" w:eastAsia="ar-SA"/>
              </w:rPr>
              <w:t>Expected result</w:t>
            </w:r>
          </w:p>
        </w:tc>
      </w:tr>
      <w:tr w:rsidR="00141BED" w:rsidRPr="00141BED" w:rsidTr="00C572D3">
        <w:trPr>
          <w:gridAfter w:val="1"/>
          <w:wAfter w:w="545" w:type="dxa"/>
          <w:cantSplit/>
          <w:trHeight w:val="137"/>
        </w:trPr>
        <w:tc>
          <w:tcPr>
            <w:tcW w:w="779" w:type="dxa"/>
            <w:gridSpan w:val="2"/>
            <w:vMerge/>
            <w:tcBorders>
              <w:left w:val="single" w:sz="6" w:space="0" w:color="auto"/>
              <w:bottom w:val="single" w:sz="4" w:space="0" w:color="auto"/>
              <w:right w:val="single" w:sz="4" w:space="0" w:color="auto"/>
            </w:tcBorders>
          </w:tcPr>
          <w:p w:rsidR="00A820F1" w:rsidRPr="00141BED" w:rsidRDefault="00A820F1" w:rsidP="00C572D3">
            <w:pPr>
              <w:pStyle w:val="a8"/>
              <w:spacing w:line="360" w:lineRule="auto"/>
              <w:ind w:firstLine="709"/>
              <w:jc w:val="both"/>
              <w:rPr>
                <w:rFonts w:ascii="Times New Roman" w:eastAsia="Times New Roman" w:hAnsi="Times New Roman"/>
                <w:sz w:val="24"/>
                <w:szCs w:val="24"/>
                <w:lang w:val="kk-KZ" w:eastAsia="ar-SA"/>
              </w:rPr>
            </w:pPr>
          </w:p>
        </w:tc>
        <w:tc>
          <w:tcPr>
            <w:tcW w:w="3260" w:type="dxa"/>
            <w:vMerge/>
            <w:tcBorders>
              <w:left w:val="single" w:sz="4" w:space="0" w:color="auto"/>
              <w:bottom w:val="single" w:sz="4" w:space="0" w:color="auto"/>
              <w:right w:val="single" w:sz="4" w:space="0" w:color="auto"/>
            </w:tcBorders>
          </w:tcPr>
          <w:p w:rsidR="00A820F1" w:rsidRPr="00141BED" w:rsidRDefault="00A820F1" w:rsidP="00C572D3">
            <w:pPr>
              <w:pStyle w:val="a8"/>
              <w:spacing w:line="360" w:lineRule="auto"/>
              <w:ind w:firstLine="709"/>
              <w:jc w:val="both"/>
              <w:rPr>
                <w:rFonts w:ascii="Times New Roman" w:eastAsia="Times New Roman" w:hAnsi="Times New Roman"/>
                <w:sz w:val="24"/>
                <w:szCs w:val="24"/>
                <w:lang w:val="kk-KZ" w:eastAsia="ar-SA"/>
              </w:rPr>
            </w:pP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593A7D" w:rsidP="00C572D3">
            <w:pPr>
              <w:pStyle w:val="a8"/>
              <w:spacing w:line="360" w:lineRule="auto"/>
              <w:jc w:val="center"/>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beginning</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593A7D" w:rsidP="00C572D3">
            <w:pPr>
              <w:pStyle w:val="a8"/>
              <w:spacing w:line="360" w:lineRule="auto"/>
              <w:jc w:val="center"/>
              <w:rPr>
                <w:rFonts w:ascii="Times New Roman" w:eastAsia="Times New Roman" w:hAnsi="Times New Roman"/>
                <w:sz w:val="24"/>
                <w:szCs w:val="24"/>
                <w:lang w:val="ru-RU" w:eastAsia="ar-SA"/>
              </w:rPr>
            </w:pPr>
            <w:r w:rsidRPr="00141BED">
              <w:rPr>
                <w:rFonts w:ascii="Times New Roman" w:eastAsia="Times New Roman" w:hAnsi="Times New Roman"/>
                <w:sz w:val="24"/>
                <w:szCs w:val="24"/>
                <w:lang w:val="kk-KZ" w:eastAsia="ar-SA"/>
              </w:rPr>
              <w:t>ending</w:t>
            </w:r>
          </w:p>
        </w:tc>
        <w:tc>
          <w:tcPr>
            <w:tcW w:w="4253" w:type="dxa"/>
            <w:tcBorders>
              <w:left w:val="single" w:sz="4"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p>
        </w:tc>
      </w:tr>
      <w:tr w:rsidR="00141BED" w:rsidRPr="00911CCD" w:rsidTr="00C572D3">
        <w:trPr>
          <w:gridAfter w:val="1"/>
          <w:wAfter w:w="545" w:type="dxa"/>
          <w:cantSplit/>
          <w:trHeight w:val="2465"/>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1.</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To study the influence of climatic factors (precipitation, temperature) and fire frequency on the formation of radial increment of Scots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growing in the</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eastAsia="ar-SA"/>
              </w:rPr>
            </w:pPr>
            <w:r w:rsidRPr="00141BED">
              <w:rPr>
                <w:rFonts w:ascii="Times New Roman" w:eastAsia="Times New Roman" w:hAnsi="Times New Roman"/>
                <w:sz w:val="24"/>
                <w:szCs w:val="24"/>
                <w:lang w:eastAsia="ar-SA"/>
              </w:rPr>
              <w:t>January,</w:t>
            </w:r>
          </w:p>
          <w:p w:rsidR="00A820F1" w:rsidRPr="00141BED" w:rsidRDefault="00A820F1"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2018</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until November 1</w:t>
            </w:r>
            <w:r w:rsidRPr="00141BED">
              <w:rPr>
                <w:rFonts w:ascii="Times New Roman" w:eastAsia="Times New Roman" w:hAnsi="Times New Roman"/>
                <w:sz w:val="24"/>
                <w:szCs w:val="24"/>
                <w:lang w:eastAsia="ar-SA"/>
              </w:rPr>
              <w:t xml:space="preserve">, </w:t>
            </w:r>
            <w:r w:rsidR="00A820F1" w:rsidRPr="00141BED">
              <w:rPr>
                <w:rFonts w:ascii="Times New Roman" w:eastAsia="Times New Roman" w:hAnsi="Times New Roman"/>
                <w:sz w:val="24"/>
                <w:szCs w:val="24"/>
                <w:lang w:val="kk-KZ" w:eastAsia="ar-SA"/>
              </w:rPr>
              <w:t>2018</w:t>
            </w:r>
          </w:p>
        </w:tc>
        <w:tc>
          <w:tcPr>
            <w:tcW w:w="4253" w:type="dxa"/>
            <w:tcBorders>
              <w:top w:val="single" w:sz="4" w:space="0" w:color="auto"/>
              <w:left w:val="single" w:sz="4" w:space="0" w:color="auto"/>
              <w:bottom w:val="single" w:sz="4" w:space="0" w:color="auto"/>
              <w:right w:val="single" w:sz="4" w:space="0" w:color="auto"/>
            </w:tcBorders>
          </w:tcPr>
          <w:p w:rsidR="00A820F1" w:rsidRPr="00141BED" w:rsidRDefault="00AA6682"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study of the influence of climatic factors (precipitation, temperature) and the frequency of fires on the formation of the radial increment of Scotch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wood, growing in the Northern (GU Akmola region) and East</w:t>
            </w:r>
          </w:p>
        </w:tc>
      </w:tr>
      <w:tr w:rsidR="00C572D3" w:rsidRPr="00911CCD" w:rsidTr="00C572D3">
        <w:trPr>
          <w:gridAfter w:val="1"/>
          <w:wAfter w:w="545" w:type="dxa"/>
          <w:cantSplit/>
          <w:trHeight w:val="2906"/>
        </w:trPr>
        <w:tc>
          <w:tcPr>
            <w:tcW w:w="779" w:type="dxa"/>
            <w:gridSpan w:val="2"/>
            <w:tcBorders>
              <w:top w:val="single" w:sz="4" w:space="0" w:color="auto"/>
              <w:left w:val="single" w:sz="6" w:space="0" w:color="auto"/>
              <w:bottom w:val="single" w:sz="4" w:space="0" w:color="auto"/>
              <w:right w:val="single" w:sz="4" w:space="0" w:color="auto"/>
            </w:tcBorders>
          </w:tcPr>
          <w:p w:rsidR="00C572D3" w:rsidRPr="00141BED" w:rsidRDefault="00C572D3" w:rsidP="00C572D3">
            <w:pPr>
              <w:pStyle w:val="a8"/>
              <w:spacing w:line="360" w:lineRule="auto"/>
              <w:jc w:val="both"/>
              <w:rPr>
                <w:rFonts w:ascii="Times New Roman" w:eastAsia="Times New Roman" w:hAnsi="Times New Roman"/>
                <w:sz w:val="24"/>
                <w:szCs w:val="24"/>
                <w:lang w:val="kk-KZ" w:eastAsia="ar-SA"/>
              </w:rPr>
            </w:pPr>
          </w:p>
        </w:tc>
        <w:tc>
          <w:tcPr>
            <w:tcW w:w="3260" w:type="dxa"/>
            <w:tcBorders>
              <w:top w:val="single" w:sz="4" w:space="0" w:color="auto"/>
              <w:left w:val="single" w:sz="4" w:space="0" w:color="auto"/>
              <w:bottom w:val="single" w:sz="4" w:space="0" w:color="auto"/>
              <w:right w:val="single" w:sz="4" w:space="0" w:color="auto"/>
            </w:tcBorders>
          </w:tcPr>
          <w:p w:rsidR="00C572D3" w:rsidRPr="00141BED" w:rsidRDefault="00C572D3"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 xml:space="preserve"> Northern (Akmola region) and East Kazakhstan (ribbon forests of the Irtysh region) regions of Kazakhstan using dendroclimatic analysis.</w:t>
            </w:r>
          </w:p>
        </w:tc>
        <w:tc>
          <w:tcPr>
            <w:tcW w:w="850" w:type="dxa"/>
            <w:tcBorders>
              <w:top w:val="single" w:sz="4" w:space="0" w:color="auto"/>
              <w:left w:val="single" w:sz="4" w:space="0" w:color="auto"/>
              <w:bottom w:val="single" w:sz="4" w:space="0" w:color="auto"/>
              <w:right w:val="single" w:sz="4" w:space="0" w:color="auto"/>
            </w:tcBorders>
          </w:tcPr>
          <w:p w:rsidR="00C572D3" w:rsidRPr="00141BED" w:rsidRDefault="00C572D3" w:rsidP="00C572D3">
            <w:pPr>
              <w:pStyle w:val="a8"/>
              <w:spacing w:line="360" w:lineRule="auto"/>
              <w:rPr>
                <w:rFonts w:ascii="Times New Roman" w:eastAsia="Times New Roman" w:hAnsi="Times New Roman"/>
                <w:sz w:val="24"/>
                <w:szCs w:val="24"/>
                <w:lang w:eastAsia="ar-SA"/>
              </w:rPr>
            </w:pPr>
          </w:p>
        </w:tc>
        <w:tc>
          <w:tcPr>
            <w:tcW w:w="851" w:type="dxa"/>
            <w:tcBorders>
              <w:top w:val="single" w:sz="4" w:space="0" w:color="auto"/>
              <w:left w:val="single" w:sz="4" w:space="0" w:color="auto"/>
              <w:bottom w:val="single" w:sz="4" w:space="0" w:color="auto"/>
              <w:right w:val="single" w:sz="4" w:space="0" w:color="auto"/>
            </w:tcBorders>
          </w:tcPr>
          <w:p w:rsidR="00C572D3" w:rsidRPr="00141BED" w:rsidRDefault="00C572D3" w:rsidP="00C572D3">
            <w:pPr>
              <w:pStyle w:val="a8"/>
              <w:spacing w:line="360" w:lineRule="auto"/>
              <w:rPr>
                <w:rFonts w:ascii="Times New Roman" w:eastAsia="Times New Roman" w:hAnsi="Times New Roman"/>
                <w:sz w:val="24"/>
                <w:szCs w:val="24"/>
                <w:lang w:val="kk-KZ" w:eastAsia="ar-SA"/>
              </w:rPr>
            </w:pPr>
          </w:p>
        </w:tc>
        <w:tc>
          <w:tcPr>
            <w:tcW w:w="4253" w:type="dxa"/>
            <w:tcBorders>
              <w:top w:val="single" w:sz="4" w:space="0" w:color="auto"/>
              <w:left w:val="single" w:sz="4" w:space="0" w:color="auto"/>
              <w:bottom w:val="single" w:sz="4" w:space="0" w:color="auto"/>
              <w:right w:val="single" w:sz="4" w:space="0" w:color="auto"/>
            </w:tcBorders>
          </w:tcPr>
          <w:p w:rsidR="00C572D3" w:rsidRPr="00141BED" w:rsidRDefault="00C572D3"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 xml:space="preserve"> Kazakhstan (</w:t>
            </w:r>
            <w:r w:rsidRPr="00141BED">
              <w:rPr>
                <w:rFonts w:ascii="Times New Roman" w:eastAsia="Times New Roman" w:hAnsi="Times New Roman"/>
                <w:sz w:val="24"/>
                <w:szCs w:val="24"/>
                <w:lang w:eastAsia="ar-SA"/>
              </w:rPr>
              <w:t>ribbon</w:t>
            </w:r>
            <w:r w:rsidRPr="00141BED">
              <w:rPr>
                <w:rFonts w:ascii="Times New Roman" w:eastAsia="Times New Roman" w:hAnsi="Times New Roman"/>
                <w:sz w:val="24"/>
                <w:szCs w:val="24"/>
                <w:lang w:val="kk-KZ" w:eastAsia="ar-SA"/>
              </w:rPr>
              <w:t xml:space="preserve"> pine forests of the Irtysh region) regions of Kazakhstan, using the methods of dendroclimatic analysis will be started. The state of pine stands will be assessed using dendrochronological and dendroclimatic methods.</w:t>
            </w:r>
          </w:p>
        </w:tc>
      </w:tr>
      <w:tr w:rsidR="00141BED" w:rsidRPr="00911CCD" w:rsidTr="00C572D3">
        <w:trPr>
          <w:gridAfter w:val="1"/>
          <w:wAfter w:w="545" w:type="dxa"/>
          <w:cantSplit/>
          <w:trHeight w:val="1830"/>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1.1</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D95B22"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Layout of trial plots with the collection of experimental material.</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eastAsia="ar-SA"/>
              </w:rPr>
            </w:pPr>
            <w:r w:rsidRPr="00141BED">
              <w:rPr>
                <w:rFonts w:ascii="Times New Roman" w:eastAsia="Times New Roman" w:hAnsi="Times New Roman"/>
                <w:sz w:val="24"/>
                <w:szCs w:val="24"/>
                <w:lang w:eastAsia="ar-SA"/>
              </w:rPr>
              <w:t>April,</w:t>
            </w:r>
          </w:p>
          <w:p w:rsidR="00A820F1" w:rsidRPr="00141BED" w:rsidRDefault="00A820F1"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2018</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eastAsia="ar-SA"/>
              </w:rPr>
            </w:pPr>
            <w:r w:rsidRPr="00141BED">
              <w:rPr>
                <w:rFonts w:ascii="Times New Roman" w:eastAsia="Times New Roman" w:hAnsi="Times New Roman"/>
                <w:sz w:val="24"/>
                <w:szCs w:val="24"/>
                <w:lang w:eastAsia="ar-SA"/>
              </w:rPr>
              <w:t>September</w:t>
            </w:r>
          </w:p>
          <w:p w:rsidR="00A820F1" w:rsidRPr="00141BED" w:rsidRDefault="00A820F1"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2018</w:t>
            </w:r>
          </w:p>
        </w:tc>
        <w:tc>
          <w:tcPr>
            <w:tcW w:w="4253" w:type="dxa"/>
            <w:tcBorders>
              <w:top w:val="single" w:sz="4" w:space="0" w:color="auto"/>
              <w:left w:val="single" w:sz="4" w:space="0" w:color="auto"/>
              <w:bottom w:val="single" w:sz="4" w:space="0" w:color="auto"/>
              <w:right w:val="single" w:sz="4" w:space="0" w:color="auto"/>
            </w:tcBorders>
          </w:tcPr>
          <w:p w:rsidR="00A820F1" w:rsidRPr="00141BED" w:rsidRDefault="00AA6682"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Test plots will be laid with the collection of experimental material. A taxation characteristic of pine forests, an array of experimental material (cores) will be obtained.</w:t>
            </w:r>
          </w:p>
        </w:tc>
      </w:tr>
      <w:tr w:rsidR="00141BED" w:rsidRPr="00911CCD" w:rsidTr="00C572D3">
        <w:trPr>
          <w:gridAfter w:val="1"/>
          <w:wAfter w:w="545" w:type="dxa"/>
          <w:cantSplit/>
          <w:trHeight w:val="2125"/>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1.2</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D95B22"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Processing of experimental material to obtain tree chronologies and analysis of the dynamics of the annual ring width depending on climate indicators.</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eastAsia="ar-SA"/>
              </w:rPr>
            </w:pPr>
            <w:r w:rsidRPr="00141BED">
              <w:rPr>
                <w:rFonts w:ascii="Times New Roman" w:eastAsia="Times New Roman" w:hAnsi="Times New Roman"/>
                <w:sz w:val="24"/>
                <w:szCs w:val="24"/>
                <w:lang w:eastAsia="ar-SA"/>
              </w:rPr>
              <w:t>July,</w:t>
            </w:r>
          </w:p>
          <w:p w:rsidR="00A820F1" w:rsidRPr="00141BED" w:rsidRDefault="00A820F1"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2018</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until November 1</w:t>
            </w:r>
            <w:r w:rsidRPr="00141BED">
              <w:rPr>
                <w:rFonts w:ascii="Times New Roman" w:eastAsia="Times New Roman" w:hAnsi="Times New Roman"/>
                <w:sz w:val="24"/>
                <w:szCs w:val="24"/>
                <w:lang w:eastAsia="ar-SA"/>
              </w:rPr>
              <w:t xml:space="preserve">, </w:t>
            </w:r>
            <w:r w:rsidR="00A820F1" w:rsidRPr="00141BED">
              <w:rPr>
                <w:rFonts w:ascii="Times New Roman" w:eastAsia="Times New Roman" w:hAnsi="Times New Roman"/>
                <w:sz w:val="24"/>
                <w:szCs w:val="24"/>
                <w:lang w:val="kk-KZ" w:eastAsia="ar-SA"/>
              </w:rPr>
              <w:t>2018</w:t>
            </w:r>
          </w:p>
        </w:tc>
        <w:tc>
          <w:tcPr>
            <w:tcW w:w="4253" w:type="dxa"/>
            <w:tcBorders>
              <w:top w:val="single" w:sz="4" w:space="0" w:color="auto"/>
              <w:left w:val="single" w:sz="4" w:space="0" w:color="auto"/>
              <w:bottom w:val="single" w:sz="4" w:space="0" w:color="auto"/>
              <w:right w:val="single" w:sz="4" w:space="0" w:color="auto"/>
            </w:tcBorders>
          </w:tcPr>
          <w:p w:rsidR="00AA6682" w:rsidRPr="00141BED" w:rsidRDefault="00AA6682"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experimental material will be processed to obtain tree chronologies and the dynamics of the annual ring width depending on climate indicators will be analyzed.</w:t>
            </w:r>
          </w:p>
          <w:p w:rsidR="00A820F1" w:rsidRPr="00141BED" w:rsidRDefault="00AA6682"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Tree chronologies will be obtained and relationships with climate indicators will be searched.</w:t>
            </w:r>
          </w:p>
        </w:tc>
      </w:tr>
      <w:tr w:rsidR="00141BED" w:rsidRPr="00911CCD" w:rsidTr="00C572D3">
        <w:trPr>
          <w:gridAfter w:val="1"/>
          <w:wAfter w:w="545" w:type="dxa"/>
          <w:cantSplit/>
          <w:trHeight w:val="4098"/>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1.</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D95B22"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To study the influence of climatic factors (precipitation, temperature) and fire frequency on the formation of radial increment of Scots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growing in the Northern (Akmola region) and East Kazakhstan (ribbon forests of the Irtysh region) regions of Kazakhstan using dendroclimatic analysis.</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January,</w:t>
            </w:r>
            <w:r w:rsidR="00A820F1" w:rsidRPr="00141BED">
              <w:rPr>
                <w:rFonts w:ascii="Times New Roman" w:eastAsia="Times New Roman" w:hAnsi="Times New Roman"/>
                <w:sz w:val="24"/>
                <w:szCs w:val="24"/>
                <w:lang w:val="kk-KZ" w:eastAsia="ar-SA"/>
              </w:rPr>
              <w:t xml:space="preserve"> 2019</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April,</w:t>
            </w:r>
            <w:r w:rsidR="00A820F1" w:rsidRPr="00141BED">
              <w:rPr>
                <w:rFonts w:ascii="Times New Roman" w:eastAsia="Times New Roman" w:hAnsi="Times New Roman"/>
                <w:sz w:val="24"/>
                <w:szCs w:val="24"/>
                <w:lang w:val="kk-KZ" w:eastAsia="ar-SA"/>
              </w:rPr>
              <w:t xml:space="preserve"> 2019</w:t>
            </w:r>
          </w:p>
        </w:tc>
        <w:tc>
          <w:tcPr>
            <w:tcW w:w="4253" w:type="dxa"/>
            <w:tcBorders>
              <w:top w:val="single" w:sz="4" w:space="0" w:color="auto"/>
              <w:left w:val="single" w:sz="4" w:space="0" w:color="auto"/>
              <w:bottom w:val="single" w:sz="4" w:space="0" w:color="auto"/>
              <w:right w:val="single" w:sz="4" w:space="0" w:color="auto"/>
            </w:tcBorders>
          </w:tcPr>
          <w:p w:rsidR="0015500D" w:rsidRPr="00141BED" w:rsidRDefault="0015500D"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study of the influence of climatic factors (precipitation, temperature) and fire frequency on the formation of radial increment of Scots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growing in the Northern (Akmola region) and East Kazakhstan (ribbon forests of the Irtysh region) regions of Kazakhstan using dendroclimatic analysis will be completed.</w:t>
            </w:r>
          </w:p>
          <w:p w:rsidR="00A820F1" w:rsidRPr="00141BED" w:rsidRDefault="0015500D"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assessment of the state of pine stands by dendrochronological and dendroclimatic methods will be completed.</w:t>
            </w:r>
          </w:p>
        </w:tc>
      </w:tr>
      <w:tr w:rsidR="00141BED" w:rsidRPr="00911CCD" w:rsidTr="00C572D3">
        <w:trPr>
          <w:gridAfter w:val="1"/>
          <w:wAfter w:w="545" w:type="dxa"/>
          <w:cantSplit/>
          <w:trHeight w:val="2655"/>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lastRenderedPageBreak/>
              <w:t>1.2</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4714A0"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Processing of experimental material to obtain tree chronologies and analysis of the dynamics of the annual ring width depending on climate indicators.</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January,</w:t>
            </w:r>
            <w:r w:rsidR="00A820F1" w:rsidRPr="00141BED">
              <w:rPr>
                <w:rFonts w:ascii="Times New Roman" w:eastAsia="Times New Roman" w:hAnsi="Times New Roman"/>
                <w:sz w:val="24"/>
                <w:szCs w:val="24"/>
                <w:lang w:val="kk-KZ" w:eastAsia="ar-SA"/>
              </w:rPr>
              <w:t xml:space="preserve"> 2019</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April,</w:t>
            </w:r>
            <w:r w:rsidR="00A820F1" w:rsidRPr="00141BED">
              <w:rPr>
                <w:rFonts w:ascii="Times New Roman" w:eastAsia="Times New Roman" w:hAnsi="Times New Roman"/>
                <w:sz w:val="24"/>
                <w:szCs w:val="24"/>
                <w:lang w:val="kk-KZ" w:eastAsia="ar-SA"/>
              </w:rPr>
              <w:t xml:space="preserve"> 2019</w:t>
            </w:r>
          </w:p>
        </w:tc>
        <w:tc>
          <w:tcPr>
            <w:tcW w:w="4253" w:type="dxa"/>
            <w:tcBorders>
              <w:top w:val="single" w:sz="4" w:space="0" w:color="auto"/>
              <w:left w:val="single" w:sz="4" w:space="0" w:color="auto"/>
              <w:bottom w:val="single" w:sz="4" w:space="0" w:color="auto"/>
              <w:right w:val="single" w:sz="4" w:space="0" w:color="auto"/>
            </w:tcBorders>
          </w:tcPr>
          <w:p w:rsidR="0015500D" w:rsidRPr="00141BED" w:rsidRDefault="0015500D"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experimental material will be processed to obtain tree chronologies and the dynamics of the annual ring width will be analyzed depending on climate indicators.</w:t>
            </w:r>
          </w:p>
          <w:p w:rsidR="00A820F1" w:rsidRPr="00141BED" w:rsidRDefault="0015500D"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A search for relationships with climate indicators will be conducted.</w:t>
            </w:r>
          </w:p>
        </w:tc>
      </w:tr>
      <w:tr w:rsidR="00141BED" w:rsidRPr="00911CCD" w:rsidTr="00C572D3">
        <w:trPr>
          <w:gridAfter w:val="1"/>
          <w:wAfter w:w="545" w:type="dxa"/>
          <w:cantSplit/>
          <w:trHeight w:val="4243"/>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2.</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4714A0"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To study the influence of forestry activities – tending felling of various intensity on the dynamics of annual radial increment of Scots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using tree-ring chronologies.</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April,</w:t>
            </w:r>
            <w:r w:rsidR="00A820F1" w:rsidRPr="00141BED">
              <w:rPr>
                <w:rFonts w:ascii="Times New Roman" w:eastAsia="Times New Roman" w:hAnsi="Times New Roman"/>
                <w:sz w:val="24"/>
                <w:szCs w:val="24"/>
                <w:lang w:val="kk-KZ" w:eastAsia="ar-SA"/>
              </w:rPr>
              <w:t xml:space="preserve"> 2019</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until November 1</w:t>
            </w:r>
            <w:r w:rsidRPr="00141BED">
              <w:rPr>
                <w:rFonts w:ascii="Times New Roman" w:eastAsia="Times New Roman" w:hAnsi="Times New Roman"/>
                <w:sz w:val="24"/>
                <w:szCs w:val="24"/>
                <w:lang w:eastAsia="ar-SA"/>
              </w:rPr>
              <w:t xml:space="preserve">, </w:t>
            </w:r>
            <w:r w:rsidR="00A820F1" w:rsidRPr="00141BED">
              <w:rPr>
                <w:rFonts w:ascii="Times New Roman" w:eastAsia="Times New Roman" w:hAnsi="Times New Roman"/>
                <w:sz w:val="24"/>
                <w:szCs w:val="24"/>
                <w:lang w:val="kk-KZ" w:eastAsia="ar-SA"/>
              </w:rPr>
              <w:t>2019</w:t>
            </w:r>
          </w:p>
        </w:tc>
        <w:tc>
          <w:tcPr>
            <w:tcW w:w="4253" w:type="dxa"/>
            <w:tcBorders>
              <w:top w:val="single" w:sz="4" w:space="0" w:color="auto"/>
              <w:left w:val="single" w:sz="4" w:space="0" w:color="auto"/>
              <w:bottom w:val="single" w:sz="4" w:space="0" w:color="auto"/>
              <w:right w:val="single" w:sz="4" w:space="0" w:color="auto"/>
            </w:tcBorders>
          </w:tcPr>
          <w:p w:rsidR="004D5BD3" w:rsidRPr="00141BED" w:rsidRDefault="004D5BD3"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study of the influence of forest management measures – tending felling of various intensity on the dynamics of annual radial increment of Scots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using tree-ring chronologies.</w:t>
            </w:r>
          </w:p>
          <w:p w:rsidR="004D5BD3" w:rsidRPr="00141BED" w:rsidRDefault="004D5BD3"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influence of tending felling of various intensity on the dynamics of annual increment of pine stands will be evaluated using dendrochronological methods.</w:t>
            </w:r>
          </w:p>
          <w:p w:rsidR="00A820F1" w:rsidRPr="00141BED" w:rsidRDefault="004D5BD3"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3 articles will be published in peer-reviewed foreign scientific publications with a non-zero impact factor.</w:t>
            </w:r>
          </w:p>
        </w:tc>
      </w:tr>
      <w:tr w:rsidR="00141BED" w:rsidRPr="00911CCD" w:rsidTr="00C572D3">
        <w:trPr>
          <w:gridAfter w:val="1"/>
          <w:wAfter w:w="545" w:type="dxa"/>
          <w:cantSplit/>
          <w:trHeight w:val="2215"/>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2.1</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4714A0"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Layout of trial plots with the collection of experimental material.</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April,</w:t>
            </w:r>
            <w:r w:rsidR="00A820F1" w:rsidRPr="00141BED">
              <w:rPr>
                <w:rFonts w:ascii="Times New Roman" w:eastAsia="Times New Roman" w:hAnsi="Times New Roman"/>
                <w:sz w:val="24"/>
                <w:szCs w:val="24"/>
                <w:lang w:val="kk-KZ" w:eastAsia="ar-SA"/>
              </w:rPr>
              <w:t xml:space="preserve"> 2019</w:t>
            </w:r>
          </w:p>
        </w:tc>
        <w:tc>
          <w:tcPr>
            <w:tcW w:w="851" w:type="dxa"/>
            <w:tcBorders>
              <w:top w:val="single" w:sz="4" w:space="0" w:color="auto"/>
              <w:left w:val="single" w:sz="4" w:space="0" w:color="auto"/>
              <w:bottom w:val="single" w:sz="4" w:space="0" w:color="auto"/>
              <w:right w:val="single" w:sz="4" w:space="0" w:color="auto"/>
            </w:tcBorders>
          </w:tcPr>
          <w:p w:rsidR="00FC61A0" w:rsidRPr="00141BED" w:rsidRDefault="00FC61A0" w:rsidP="00C572D3">
            <w:pPr>
              <w:pStyle w:val="a8"/>
              <w:spacing w:line="360" w:lineRule="auto"/>
              <w:rPr>
                <w:rFonts w:ascii="Times New Roman" w:eastAsia="Times New Roman" w:hAnsi="Times New Roman"/>
                <w:sz w:val="24"/>
                <w:szCs w:val="24"/>
                <w:lang w:eastAsia="ar-SA"/>
              </w:rPr>
            </w:pPr>
            <w:r w:rsidRPr="00141BED">
              <w:rPr>
                <w:rFonts w:ascii="Times New Roman" w:eastAsia="Times New Roman" w:hAnsi="Times New Roman"/>
                <w:sz w:val="24"/>
                <w:szCs w:val="24"/>
                <w:lang w:eastAsia="ar-SA"/>
              </w:rPr>
              <w:t>September,</w:t>
            </w:r>
          </w:p>
          <w:p w:rsidR="00A820F1" w:rsidRPr="00141BED" w:rsidRDefault="00A820F1"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2019</w:t>
            </w:r>
          </w:p>
        </w:tc>
        <w:tc>
          <w:tcPr>
            <w:tcW w:w="4253" w:type="dxa"/>
            <w:tcBorders>
              <w:top w:val="single" w:sz="4" w:space="0" w:color="auto"/>
              <w:left w:val="single" w:sz="4" w:space="0" w:color="auto"/>
              <w:bottom w:val="single" w:sz="4" w:space="0" w:color="auto"/>
              <w:right w:val="single" w:sz="4" w:space="0" w:color="auto"/>
            </w:tcBorders>
          </w:tcPr>
          <w:p w:rsidR="00BF1683" w:rsidRPr="00141BED" w:rsidRDefault="00BF1683"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Test plots will be laid with the collection of experimental material.</w:t>
            </w:r>
          </w:p>
          <w:p w:rsidR="00A820F1" w:rsidRPr="00141BED" w:rsidRDefault="00BF1683"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taxational characteristics of pine forests and an array of experimental material (cores) will be obtained.</w:t>
            </w:r>
          </w:p>
        </w:tc>
      </w:tr>
      <w:tr w:rsidR="00141BED" w:rsidRPr="00911CCD" w:rsidTr="00C572D3">
        <w:trPr>
          <w:gridAfter w:val="1"/>
          <w:wAfter w:w="545" w:type="dxa"/>
          <w:cantSplit/>
          <w:trHeight w:val="3392"/>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lastRenderedPageBreak/>
              <w:t>2.2</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AC7AD7"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Processing of experimental material with obtaining tree chronologies and analysis of the dynamics of the annual ring width depending on the intensity of thinning.</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July,</w:t>
            </w:r>
            <w:r w:rsidR="00A820F1" w:rsidRPr="00141BED">
              <w:rPr>
                <w:rFonts w:ascii="Times New Roman" w:eastAsia="Times New Roman" w:hAnsi="Times New Roman"/>
                <w:sz w:val="24"/>
                <w:szCs w:val="24"/>
                <w:lang w:val="kk-KZ" w:eastAsia="ar-SA"/>
              </w:rPr>
              <w:t xml:space="preserve"> 2019</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until November 1</w:t>
            </w:r>
            <w:r w:rsidRPr="00141BED">
              <w:rPr>
                <w:rFonts w:ascii="Times New Roman" w:eastAsia="Times New Roman" w:hAnsi="Times New Roman"/>
                <w:sz w:val="24"/>
                <w:szCs w:val="24"/>
                <w:lang w:eastAsia="ar-SA"/>
              </w:rPr>
              <w:t>,</w:t>
            </w:r>
            <w:r w:rsidR="00A820F1" w:rsidRPr="00141BED">
              <w:rPr>
                <w:rFonts w:ascii="Times New Roman" w:eastAsia="Times New Roman" w:hAnsi="Times New Roman"/>
                <w:sz w:val="24"/>
                <w:szCs w:val="24"/>
                <w:lang w:val="kk-KZ" w:eastAsia="ar-SA"/>
              </w:rPr>
              <w:t xml:space="preserve"> 2019</w:t>
            </w:r>
          </w:p>
        </w:tc>
        <w:tc>
          <w:tcPr>
            <w:tcW w:w="4253" w:type="dxa"/>
            <w:tcBorders>
              <w:top w:val="single" w:sz="4" w:space="0" w:color="auto"/>
              <w:left w:val="single" w:sz="4" w:space="0" w:color="auto"/>
              <w:bottom w:val="single" w:sz="4" w:space="0" w:color="auto"/>
              <w:right w:val="single" w:sz="4" w:space="0" w:color="auto"/>
            </w:tcBorders>
          </w:tcPr>
          <w:p w:rsidR="00D41288" w:rsidRPr="00141BED" w:rsidRDefault="00D41288"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Processing of the experimental material to obtain tree chronologies and analysis of the dynamics of the annual ring width depending on the intensity of thinning will be started.</w:t>
            </w:r>
          </w:p>
          <w:p w:rsidR="00A820F1" w:rsidRPr="00141BED" w:rsidRDefault="00D41288"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Tree chronologies will be obtained and the relationships between the width of the annual ring and the intensity of thinning will be searched.</w:t>
            </w:r>
          </w:p>
        </w:tc>
      </w:tr>
      <w:tr w:rsidR="00141BED" w:rsidRPr="00911CCD" w:rsidTr="00C572D3">
        <w:trPr>
          <w:gridAfter w:val="1"/>
          <w:wAfter w:w="545" w:type="dxa"/>
          <w:cantSplit/>
          <w:trHeight w:val="4106"/>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2.</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B701F5"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To study the influence of forestry activities - tending felling of varying intensity on the dynamics of the annual radial increment of Scots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using tree-ring chronologies.</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 xml:space="preserve">January, </w:t>
            </w:r>
            <w:r w:rsidR="00A820F1" w:rsidRPr="00141BED">
              <w:rPr>
                <w:rFonts w:ascii="Times New Roman" w:eastAsia="Times New Roman" w:hAnsi="Times New Roman"/>
                <w:sz w:val="24"/>
                <w:szCs w:val="24"/>
                <w:lang w:val="kk-KZ" w:eastAsia="ar-SA"/>
              </w:rPr>
              <w:t>2020</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April,</w:t>
            </w:r>
            <w:r w:rsidR="00A820F1" w:rsidRPr="00141BED">
              <w:rPr>
                <w:rFonts w:ascii="Times New Roman" w:eastAsia="Times New Roman" w:hAnsi="Times New Roman"/>
                <w:sz w:val="24"/>
                <w:szCs w:val="24"/>
                <w:lang w:val="kk-KZ" w:eastAsia="ar-SA"/>
              </w:rPr>
              <w:t xml:space="preserve"> 2020</w:t>
            </w:r>
          </w:p>
        </w:tc>
        <w:tc>
          <w:tcPr>
            <w:tcW w:w="4253" w:type="dxa"/>
            <w:tcBorders>
              <w:top w:val="single" w:sz="4" w:space="0" w:color="auto"/>
              <w:left w:val="single" w:sz="4" w:space="0" w:color="auto"/>
              <w:bottom w:val="single" w:sz="4" w:space="0" w:color="auto"/>
              <w:right w:val="single" w:sz="4" w:space="0" w:color="auto"/>
            </w:tcBorders>
          </w:tcPr>
          <w:p w:rsidR="00D41288" w:rsidRPr="00141BED" w:rsidRDefault="00D41288"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study of the influence of forestry activities - tending felling of varying intensity on the dynamics of the annual radial increment of Scots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using tree-ring chronologies will be completed.</w:t>
            </w:r>
          </w:p>
          <w:p w:rsidR="00A820F1" w:rsidRPr="00141BED" w:rsidRDefault="00D41288"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impact of tending felling of various intensities on the dynamics of the annual increment of pine stands will be assessed using dendrochronological methods.</w:t>
            </w:r>
          </w:p>
        </w:tc>
      </w:tr>
      <w:tr w:rsidR="00141BED" w:rsidRPr="00911CCD" w:rsidTr="00C572D3">
        <w:trPr>
          <w:gridAfter w:val="1"/>
          <w:wAfter w:w="545" w:type="dxa"/>
          <w:cantSplit/>
          <w:trHeight w:val="3670"/>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2.2</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AF7CE1"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Processing of experimental material with obtaining tree chronologies and analysis of the dynamics of the annual ring width depending on the intensity of thinning.</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 xml:space="preserve">January, </w:t>
            </w:r>
            <w:r w:rsidR="00A820F1" w:rsidRPr="00141BED">
              <w:rPr>
                <w:rFonts w:ascii="Times New Roman" w:eastAsia="Times New Roman" w:hAnsi="Times New Roman"/>
                <w:sz w:val="24"/>
                <w:szCs w:val="24"/>
                <w:lang w:val="kk-KZ" w:eastAsia="ar-SA"/>
              </w:rPr>
              <w:t>2020</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April,</w:t>
            </w:r>
            <w:r w:rsidR="00A820F1" w:rsidRPr="00141BED">
              <w:rPr>
                <w:rFonts w:ascii="Times New Roman" w:eastAsia="Times New Roman" w:hAnsi="Times New Roman"/>
                <w:sz w:val="24"/>
                <w:szCs w:val="24"/>
                <w:lang w:val="kk-KZ" w:eastAsia="ar-SA"/>
              </w:rPr>
              <w:t xml:space="preserve"> 2020</w:t>
            </w:r>
          </w:p>
        </w:tc>
        <w:tc>
          <w:tcPr>
            <w:tcW w:w="4253" w:type="dxa"/>
            <w:tcBorders>
              <w:top w:val="single" w:sz="4" w:space="0" w:color="auto"/>
              <w:left w:val="single" w:sz="4" w:space="0" w:color="auto"/>
              <w:bottom w:val="single" w:sz="4" w:space="0" w:color="auto"/>
              <w:right w:val="single" w:sz="4" w:space="0" w:color="auto"/>
            </w:tcBorders>
          </w:tcPr>
          <w:p w:rsidR="00F677AE" w:rsidRPr="00141BED" w:rsidRDefault="00F677AE"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processing of the experimental material will be completed to obtain tree chronologies and the analysis of the dynamics of the annual ring width depending on the intensity of thinning.</w:t>
            </w:r>
          </w:p>
          <w:p w:rsidR="00A820F1" w:rsidRPr="00141BED" w:rsidRDefault="00F677AE"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Arboreal chronologies will be obtained and a search will be carried out for relationships between the width of the annual ring and the intensity of thinning.</w:t>
            </w:r>
          </w:p>
        </w:tc>
      </w:tr>
      <w:tr w:rsidR="00141BED" w:rsidRPr="00911CCD" w:rsidTr="00C572D3">
        <w:trPr>
          <w:gridAfter w:val="1"/>
          <w:wAfter w:w="545" w:type="dxa"/>
          <w:cantSplit/>
          <w:trHeight w:val="7078"/>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lastRenderedPageBreak/>
              <w:t>3.</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AF7CE1"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To study the influence of astrophysical factors (cyclicity of solar activity) on the formation of the radial increment of Scotch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wood in pine plantations of the Northern (pine forests of the Shchuchinsko-Borovsk resort zone) and East Kazakhstan regions of Kazakhstan (</w:t>
            </w:r>
            <w:r w:rsidRPr="00141BED">
              <w:rPr>
                <w:rFonts w:ascii="Times New Roman" w:eastAsia="Times New Roman" w:hAnsi="Times New Roman"/>
                <w:sz w:val="24"/>
                <w:szCs w:val="24"/>
                <w:lang w:eastAsia="ar-SA"/>
              </w:rPr>
              <w:t>ribbon</w:t>
            </w:r>
            <w:r w:rsidRPr="00141BED">
              <w:rPr>
                <w:rFonts w:ascii="Times New Roman" w:eastAsia="Times New Roman" w:hAnsi="Times New Roman"/>
                <w:sz w:val="24"/>
                <w:szCs w:val="24"/>
                <w:lang w:val="kk-KZ" w:eastAsia="ar-SA"/>
              </w:rPr>
              <w:t xml:space="preserve"> pine forests of the Irtysh region) by methods of dendroclimatic analysis and creation of on this basis, the forecast of the development of pine plantations.</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April,</w:t>
            </w:r>
            <w:r w:rsidR="00A820F1" w:rsidRPr="00141BED">
              <w:rPr>
                <w:rFonts w:ascii="Times New Roman" w:eastAsia="Times New Roman" w:hAnsi="Times New Roman"/>
                <w:sz w:val="24"/>
                <w:szCs w:val="24"/>
                <w:lang w:val="kk-KZ" w:eastAsia="ar-SA"/>
              </w:rPr>
              <w:t xml:space="preserve"> 2020</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until November 1</w:t>
            </w:r>
            <w:r w:rsidRPr="00141BED">
              <w:rPr>
                <w:rFonts w:ascii="Times New Roman" w:eastAsia="Times New Roman" w:hAnsi="Times New Roman"/>
                <w:sz w:val="24"/>
                <w:szCs w:val="24"/>
                <w:lang w:eastAsia="ar-SA"/>
              </w:rPr>
              <w:t>,</w:t>
            </w:r>
            <w:r w:rsidR="00A820F1" w:rsidRPr="00141BED">
              <w:rPr>
                <w:rFonts w:ascii="Times New Roman" w:eastAsia="Times New Roman" w:hAnsi="Times New Roman"/>
                <w:sz w:val="24"/>
                <w:szCs w:val="24"/>
                <w:lang w:val="kk-KZ" w:eastAsia="ar-SA"/>
              </w:rPr>
              <w:t xml:space="preserve"> 2020</w:t>
            </w:r>
          </w:p>
        </w:tc>
        <w:tc>
          <w:tcPr>
            <w:tcW w:w="4253" w:type="dxa"/>
            <w:tcBorders>
              <w:top w:val="single" w:sz="4" w:space="0" w:color="auto"/>
              <w:left w:val="single" w:sz="4" w:space="0" w:color="auto"/>
              <w:bottom w:val="single" w:sz="4" w:space="0" w:color="auto"/>
              <w:right w:val="single" w:sz="4" w:space="0" w:color="auto"/>
            </w:tcBorders>
          </w:tcPr>
          <w:p w:rsidR="00F677AE" w:rsidRPr="00141BED" w:rsidRDefault="00F677AE"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influence of astrophysical factors (cyclicity of solar activity) on the formation of the radial increment of Scotch pine (</w:t>
            </w:r>
            <w:r w:rsidRPr="00141BED">
              <w:rPr>
                <w:rFonts w:ascii="Times New Roman" w:eastAsia="Times New Roman" w:hAnsi="Times New Roman"/>
                <w:i/>
                <w:sz w:val="24"/>
                <w:szCs w:val="24"/>
                <w:lang w:val="kk-KZ" w:eastAsia="ar-SA"/>
              </w:rPr>
              <w:t>Pinus sylvestris L</w:t>
            </w:r>
            <w:r w:rsidRPr="00141BED">
              <w:rPr>
                <w:rFonts w:ascii="Times New Roman" w:eastAsia="Times New Roman" w:hAnsi="Times New Roman"/>
                <w:sz w:val="24"/>
                <w:szCs w:val="24"/>
                <w:lang w:val="kk-KZ" w:eastAsia="ar-SA"/>
              </w:rPr>
              <w:t>.) wood in pine plantations of the Northern (pine forests of the Shchuchinsko-Borovsk resort zone) and East Kazakhstan regions of Kazakhstan (</w:t>
            </w:r>
            <w:r w:rsidRPr="00141BED">
              <w:rPr>
                <w:rFonts w:ascii="Times New Roman" w:eastAsia="Times New Roman" w:hAnsi="Times New Roman"/>
                <w:sz w:val="24"/>
                <w:szCs w:val="24"/>
                <w:lang w:eastAsia="ar-SA"/>
              </w:rPr>
              <w:t>ribbon</w:t>
            </w:r>
            <w:r w:rsidRPr="00141BED">
              <w:rPr>
                <w:rFonts w:ascii="Times New Roman" w:eastAsia="Times New Roman" w:hAnsi="Times New Roman"/>
                <w:sz w:val="24"/>
                <w:szCs w:val="24"/>
                <w:lang w:val="kk-KZ" w:eastAsia="ar-SA"/>
              </w:rPr>
              <w:t xml:space="preserve"> pine forests of the Irtysh region) will be studied by methods of dendroclimatic analysis and creation on this basis of a forecast of the development of pine plantations.</w:t>
            </w:r>
          </w:p>
          <w:p w:rsidR="00F677AE" w:rsidRPr="00141BED" w:rsidRDefault="00F677AE"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search for the relationship between the radial increment of pine and the cyclicality of solar activity and the forecast of the development of pine stands will be carried out.</w:t>
            </w:r>
          </w:p>
          <w:p w:rsidR="00A820F1" w:rsidRPr="00141BED" w:rsidRDefault="00F677AE"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1 article will be published in a peer-reviewed foreign scientific journal indexed by the Web of Science or Scopus databases, as well as 2 articles in journals recommended by the ССFES of the MES of the RK.</w:t>
            </w:r>
          </w:p>
        </w:tc>
      </w:tr>
      <w:tr w:rsidR="00141BED" w:rsidRPr="00911CCD" w:rsidTr="00C572D3">
        <w:trPr>
          <w:gridAfter w:val="1"/>
          <w:wAfter w:w="545" w:type="dxa"/>
          <w:cantSplit/>
          <w:trHeight w:val="2159"/>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3.1</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0165E7"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Layout of trial plots with the collection of experimental material</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April,</w:t>
            </w:r>
            <w:r w:rsidR="00A820F1" w:rsidRPr="00141BED">
              <w:rPr>
                <w:rFonts w:ascii="Times New Roman" w:eastAsia="Times New Roman" w:hAnsi="Times New Roman"/>
                <w:sz w:val="24"/>
                <w:szCs w:val="24"/>
                <w:lang w:val="kk-KZ" w:eastAsia="ar-SA"/>
              </w:rPr>
              <w:t xml:space="preserve"> 2020</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July,</w:t>
            </w:r>
            <w:r w:rsidR="00A820F1" w:rsidRPr="00141BED">
              <w:rPr>
                <w:rFonts w:ascii="Times New Roman" w:eastAsia="Times New Roman" w:hAnsi="Times New Roman"/>
                <w:sz w:val="24"/>
                <w:szCs w:val="24"/>
                <w:lang w:val="kk-KZ" w:eastAsia="ar-SA"/>
              </w:rPr>
              <w:t xml:space="preserve"> 2020</w:t>
            </w:r>
          </w:p>
        </w:tc>
        <w:tc>
          <w:tcPr>
            <w:tcW w:w="4253" w:type="dxa"/>
            <w:tcBorders>
              <w:top w:val="single" w:sz="4" w:space="0" w:color="auto"/>
              <w:left w:val="single" w:sz="4" w:space="0" w:color="auto"/>
              <w:bottom w:val="single" w:sz="4" w:space="0" w:color="auto"/>
              <w:right w:val="single" w:sz="4" w:space="0" w:color="auto"/>
            </w:tcBorders>
          </w:tcPr>
          <w:p w:rsidR="003F26D2" w:rsidRPr="00141BED" w:rsidRDefault="003F26D2"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Test plots will be laid with the collection of experimental material.</w:t>
            </w:r>
          </w:p>
          <w:p w:rsidR="00A820F1" w:rsidRPr="00141BED" w:rsidRDefault="003F26D2"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A taxation characteristic of pine forests will be obtained, and an array of experimental material (cores) will be collected.</w:t>
            </w:r>
          </w:p>
        </w:tc>
      </w:tr>
      <w:tr w:rsidR="00141BED" w:rsidRPr="00911CCD" w:rsidTr="00C572D3">
        <w:trPr>
          <w:gridAfter w:val="1"/>
          <w:wAfter w:w="545" w:type="dxa"/>
          <w:cantSplit/>
          <w:trHeight w:val="3073"/>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lastRenderedPageBreak/>
              <w:t>3.2</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0165E7"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Processing of experimental material with obtaining tree chronologies and analysis of the dynamics of the annual ring width depending on astrophysical factors.</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May,</w:t>
            </w:r>
            <w:r w:rsidR="00A820F1" w:rsidRPr="00141BED">
              <w:rPr>
                <w:rFonts w:ascii="Times New Roman" w:eastAsia="Times New Roman" w:hAnsi="Times New Roman"/>
                <w:sz w:val="24"/>
                <w:szCs w:val="24"/>
                <w:lang w:val="kk-KZ" w:eastAsia="ar-SA"/>
              </w:rPr>
              <w:t xml:space="preserve"> 2020</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October,</w:t>
            </w:r>
            <w:r w:rsidR="00A820F1" w:rsidRPr="00141BED">
              <w:rPr>
                <w:rFonts w:ascii="Times New Roman" w:eastAsia="Times New Roman" w:hAnsi="Times New Roman"/>
                <w:sz w:val="24"/>
                <w:szCs w:val="24"/>
                <w:lang w:val="kk-KZ" w:eastAsia="ar-SA"/>
              </w:rPr>
              <w:t xml:space="preserve"> 2020</w:t>
            </w:r>
          </w:p>
        </w:tc>
        <w:tc>
          <w:tcPr>
            <w:tcW w:w="4253" w:type="dxa"/>
            <w:tcBorders>
              <w:top w:val="single" w:sz="4" w:space="0" w:color="auto"/>
              <w:left w:val="single" w:sz="4" w:space="0" w:color="auto"/>
              <w:bottom w:val="single" w:sz="4" w:space="0" w:color="auto"/>
              <w:right w:val="single" w:sz="4" w:space="0" w:color="auto"/>
            </w:tcBorders>
          </w:tcPr>
          <w:p w:rsidR="00E34239" w:rsidRPr="00141BED" w:rsidRDefault="00E34239" w:rsidP="00C572D3">
            <w:pPr>
              <w:pStyle w:val="a8"/>
              <w:spacing w:line="360" w:lineRule="auto"/>
              <w:ind w:firstLine="709"/>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The processing of the experimental material will be carried out with the receipt of tree chronologies and the analysis of the dynamics of the annual ring width depending on astrophysical factors.</w:t>
            </w:r>
          </w:p>
          <w:p w:rsidR="00A820F1" w:rsidRPr="00141BED" w:rsidRDefault="00E34239" w:rsidP="00C572D3">
            <w:pPr>
              <w:pStyle w:val="a8"/>
              <w:spacing w:line="360" w:lineRule="auto"/>
              <w:ind w:firstLine="709"/>
              <w:jc w:val="both"/>
              <w:rPr>
                <w:rFonts w:ascii="Times New Roman" w:eastAsia="Times New Roman" w:hAnsi="Times New Roman"/>
                <w:sz w:val="24"/>
                <w:szCs w:val="24"/>
                <w:lang w:eastAsia="ar-SA"/>
              </w:rPr>
            </w:pPr>
            <w:r w:rsidRPr="00141BED">
              <w:rPr>
                <w:rFonts w:ascii="Times New Roman" w:eastAsia="Times New Roman" w:hAnsi="Times New Roman"/>
                <w:sz w:val="24"/>
                <w:szCs w:val="24"/>
                <w:lang w:val="kk-KZ" w:eastAsia="ar-SA"/>
              </w:rPr>
              <w:t>The relationship between radial increment and solar activity will be determined.</w:t>
            </w:r>
          </w:p>
        </w:tc>
      </w:tr>
      <w:tr w:rsidR="00141BED" w:rsidRPr="00911CCD" w:rsidTr="00C572D3">
        <w:trPr>
          <w:gridAfter w:val="1"/>
          <w:wAfter w:w="545"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A820F1" w:rsidRPr="00141BED" w:rsidRDefault="00A820F1"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3.3</w:t>
            </w:r>
          </w:p>
        </w:tc>
        <w:tc>
          <w:tcPr>
            <w:tcW w:w="3260" w:type="dxa"/>
            <w:tcBorders>
              <w:top w:val="single" w:sz="4" w:space="0" w:color="auto"/>
              <w:left w:val="single" w:sz="4" w:space="0" w:color="auto"/>
              <w:bottom w:val="single" w:sz="4" w:space="0" w:color="auto"/>
              <w:right w:val="single" w:sz="4" w:space="0" w:color="auto"/>
            </w:tcBorders>
          </w:tcPr>
          <w:p w:rsidR="00A820F1" w:rsidRPr="00141BED" w:rsidRDefault="000165E7"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Development of guidelines for conducting forestry activities aimed at increasing the biological resistance and protective functions of pine forests in Kazakhstan.</w:t>
            </w:r>
          </w:p>
        </w:tc>
        <w:tc>
          <w:tcPr>
            <w:tcW w:w="850"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eastAsia="ar-SA"/>
              </w:rPr>
              <w:t>June,</w:t>
            </w:r>
            <w:r w:rsidR="00A820F1" w:rsidRPr="00141BED">
              <w:rPr>
                <w:rFonts w:ascii="Times New Roman" w:eastAsia="Times New Roman" w:hAnsi="Times New Roman"/>
                <w:sz w:val="24"/>
                <w:szCs w:val="24"/>
                <w:lang w:val="kk-KZ" w:eastAsia="ar-SA"/>
              </w:rPr>
              <w:t xml:space="preserve"> 2020</w:t>
            </w:r>
          </w:p>
        </w:tc>
        <w:tc>
          <w:tcPr>
            <w:tcW w:w="851" w:type="dxa"/>
            <w:tcBorders>
              <w:top w:val="single" w:sz="4" w:space="0" w:color="auto"/>
              <w:left w:val="single" w:sz="4" w:space="0" w:color="auto"/>
              <w:bottom w:val="single" w:sz="4" w:space="0" w:color="auto"/>
              <w:right w:val="single" w:sz="4" w:space="0" w:color="auto"/>
            </w:tcBorders>
          </w:tcPr>
          <w:p w:rsidR="00A820F1" w:rsidRPr="00141BED" w:rsidRDefault="00FC61A0" w:rsidP="00C572D3">
            <w:pPr>
              <w:pStyle w:val="a8"/>
              <w:spacing w:line="360"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until November 1</w:t>
            </w:r>
            <w:r w:rsidRPr="00141BED">
              <w:rPr>
                <w:rFonts w:ascii="Times New Roman" w:eastAsia="Times New Roman" w:hAnsi="Times New Roman"/>
                <w:sz w:val="24"/>
                <w:szCs w:val="24"/>
                <w:lang w:eastAsia="ar-SA"/>
              </w:rPr>
              <w:t xml:space="preserve">, </w:t>
            </w:r>
            <w:r w:rsidR="00A820F1" w:rsidRPr="00141BED">
              <w:rPr>
                <w:rFonts w:ascii="Times New Roman" w:eastAsia="Times New Roman" w:hAnsi="Times New Roman"/>
                <w:sz w:val="24"/>
                <w:szCs w:val="24"/>
                <w:lang w:val="kk-KZ" w:eastAsia="ar-SA"/>
              </w:rPr>
              <w:t>2020</w:t>
            </w:r>
          </w:p>
        </w:tc>
        <w:tc>
          <w:tcPr>
            <w:tcW w:w="4253" w:type="dxa"/>
            <w:tcBorders>
              <w:top w:val="single" w:sz="4" w:space="0" w:color="auto"/>
              <w:left w:val="single" w:sz="4" w:space="0" w:color="auto"/>
              <w:bottom w:val="single" w:sz="4" w:space="0" w:color="auto"/>
              <w:right w:val="single" w:sz="4" w:space="0" w:color="auto"/>
            </w:tcBorders>
          </w:tcPr>
          <w:p w:rsidR="00A820F1" w:rsidRPr="00141BED" w:rsidRDefault="000F211A" w:rsidP="00C572D3">
            <w:pPr>
              <w:pStyle w:val="a8"/>
              <w:spacing w:line="360" w:lineRule="auto"/>
              <w:jc w:val="both"/>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t>Methodological recommendations will be developed for conducting forestry activities aimed at increasing the biological stability and protective functions of pine forests in Kazakhstan. It is possible to issue a patent for assessing the state of pine plantations using dendrochronology methods.</w:t>
            </w:r>
          </w:p>
        </w:tc>
      </w:tr>
      <w:tr w:rsidR="00141BED" w:rsidRPr="00911CCD" w:rsidTr="00C572D3">
        <w:tblPrEx>
          <w:tblCellMar>
            <w:left w:w="108" w:type="dxa"/>
            <w:right w:w="108" w:type="dxa"/>
          </w:tblCellMar>
          <w:tblLook w:val="04A0" w:firstRow="1" w:lastRow="0" w:firstColumn="1" w:lastColumn="0" w:noHBand="0" w:noVBand="1"/>
        </w:tblPrEx>
        <w:trPr>
          <w:gridBefore w:val="1"/>
          <w:wBefore w:w="211" w:type="dxa"/>
          <w:trHeight w:val="314"/>
        </w:trPr>
        <w:tc>
          <w:tcPr>
            <w:tcW w:w="10327" w:type="dxa"/>
            <w:gridSpan w:val="6"/>
            <w:shd w:val="clear" w:color="auto" w:fill="auto"/>
          </w:tcPr>
          <w:p w:rsidR="00A820F1" w:rsidRPr="00141BED" w:rsidRDefault="00A820F1" w:rsidP="00C572D3">
            <w:pPr>
              <w:pStyle w:val="a8"/>
              <w:spacing w:line="360" w:lineRule="auto"/>
              <w:jc w:val="both"/>
              <w:rPr>
                <w:rFonts w:ascii="Times New Roman" w:hAnsi="Times New Roman"/>
                <w:sz w:val="24"/>
                <w:szCs w:val="24"/>
              </w:rPr>
            </w:pPr>
          </w:p>
        </w:tc>
      </w:tr>
      <w:tr w:rsidR="00141BED" w:rsidRPr="00141BED" w:rsidTr="00C572D3">
        <w:tblPrEx>
          <w:tblCellMar>
            <w:left w:w="108" w:type="dxa"/>
            <w:right w:w="108" w:type="dxa"/>
          </w:tblCellMar>
          <w:tblLook w:val="04A0" w:firstRow="1" w:lastRow="0" w:firstColumn="1" w:lastColumn="0" w:noHBand="0" w:noVBand="1"/>
        </w:tblPrEx>
        <w:trPr>
          <w:gridBefore w:val="1"/>
          <w:wBefore w:w="211" w:type="dxa"/>
          <w:trHeight w:val="2855"/>
        </w:trPr>
        <w:tc>
          <w:tcPr>
            <w:tcW w:w="4678" w:type="dxa"/>
            <w:gridSpan w:val="3"/>
            <w:shd w:val="clear" w:color="auto" w:fill="auto"/>
          </w:tcPr>
          <w:p w:rsidR="00A820F1" w:rsidRPr="00141BED" w:rsidRDefault="00725D93" w:rsidP="00C572D3">
            <w:pPr>
              <w:pStyle w:val="a8"/>
              <w:spacing w:line="360" w:lineRule="auto"/>
              <w:rPr>
                <w:rFonts w:ascii="Times New Roman" w:hAnsi="Times New Roman"/>
                <w:sz w:val="24"/>
                <w:szCs w:val="24"/>
              </w:rPr>
            </w:pPr>
            <w:r w:rsidRPr="00141BED">
              <w:rPr>
                <w:rFonts w:ascii="Times New Roman" w:hAnsi="Times New Roman"/>
                <w:sz w:val="24"/>
                <w:szCs w:val="24"/>
              </w:rPr>
              <w:t xml:space="preserve">From </w:t>
            </w:r>
            <w:r w:rsidRPr="00141BED">
              <w:rPr>
                <w:rFonts w:ascii="Times New Roman" w:hAnsi="Times New Roman"/>
                <w:sz w:val="24"/>
                <w:szCs w:val="24"/>
                <w:lang w:val="ru-RU"/>
              </w:rPr>
              <w:t>С</w:t>
            </w:r>
            <w:r w:rsidRPr="00141BED">
              <w:rPr>
                <w:rFonts w:ascii="Times New Roman" w:hAnsi="Times New Roman"/>
                <w:sz w:val="24"/>
                <w:szCs w:val="24"/>
              </w:rPr>
              <w:t>ustomer</w:t>
            </w:r>
            <w:r w:rsidR="00A820F1" w:rsidRPr="00141BED">
              <w:rPr>
                <w:rFonts w:ascii="Times New Roman" w:hAnsi="Times New Roman"/>
                <w:sz w:val="24"/>
                <w:szCs w:val="24"/>
              </w:rPr>
              <w:t>:</w:t>
            </w:r>
          </w:p>
          <w:p w:rsidR="00A820F1" w:rsidRPr="00141BED" w:rsidRDefault="00725D93" w:rsidP="00C572D3">
            <w:pPr>
              <w:pStyle w:val="a8"/>
              <w:spacing w:line="360" w:lineRule="auto"/>
              <w:rPr>
                <w:rFonts w:ascii="Times New Roman" w:hAnsi="Times New Roman"/>
                <w:i/>
                <w:sz w:val="24"/>
                <w:szCs w:val="24"/>
              </w:rPr>
            </w:pPr>
            <w:r w:rsidRPr="00141BED">
              <w:rPr>
                <w:rFonts w:ascii="Times New Roman" w:hAnsi="Times New Roman"/>
                <w:i/>
                <w:sz w:val="24"/>
                <w:szCs w:val="24"/>
              </w:rPr>
              <w:t>Chairman of the State Institution "Science Committee of the Ministry of Education and Science of the Republic of Kazakhstan"</w:t>
            </w:r>
            <w:r w:rsidR="00A820F1" w:rsidRPr="00141BED">
              <w:rPr>
                <w:rFonts w:ascii="Times New Roman" w:hAnsi="Times New Roman"/>
                <w:i/>
                <w:sz w:val="24"/>
                <w:szCs w:val="24"/>
              </w:rPr>
              <w:t xml:space="preserve">   </w:t>
            </w:r>
          </w:p>
          <w:p w:rsidR="00A820F1" w:rsidRPr="00141BED" w:rsidRDefault="00A820F1" w:rsidP="00C572D3">
            <w:pPr>
              <w:pStyle w:val="a8"/>
              <w:spacing w:line="360" w:lineRule="auto"/>
              <w:rPr>
                <w:rFonts w:ascii="Times New Roman" w:hAnsi="Times New Roman"/>
                <w:sz w:val="24"/>
                <w:szCs w:val="24"/>
              </w:rPr>
            </w:pPr>
          </w:p>
          <w:p w:rsidR="00A820F1" w:rsidRPr="00141BED" w:rsidRDefault="00A820F1" w:rsidP="00C572D3">
            <w:pPr>
              <w:pStyle w:val="a8"/>
              <w:spacing w:line="360" w:lineRule="auto"/>
              <w:rPr>
                <w:rFonts w:ascii="Times New Roman" w:hAnsi="Times New Roman"/>
                <w:sz w:val="24"/>
                <w:szCs w:val="24"/>
              </w:rPr>
            </w:pPr>
          </w:p>
          <w:p w:rsidR="00A820F1" w:rsidRPr="00141BED" w:rsidRDefault="00A820F1" w:rsidP="00C572D3">
            <w:pPr>
              <w:pStyle w:val="a8"/>
              <w:spacing w:line="360" w:lineRule="auto"/>
              <w:rPr>
                <w:rFonts w:ascii="Times New Roman" w:hAnsi="Times New Roman"/>
                <w:sz w:val="24"/>
                <w:szCs w:val="24"/>
                <w:lang w:val="ru-RU"/>
              </w:rPr>
            </w:pPr>
            <w:r w:rsidRPr="00141BED">
              <w:rPr>
                <w:rFonts w:ascii="Times New Roman" w:hAnsi="Times New Roman"/>
                <w:i/>
                <w:sz w:val="24"/>
                <w:szCs w:val="24"/>
                <w:lang w:val="ru-RU"/>
              </w:rPr>
              <w:t>________________</w:t>
            </w:r>
            <w:r w:rsidRPr="00141BED">
              <w:rPr>
                <w:rFonts w:ascii="Times New Roman" w:hAnsi="Times New Roman"/>
                <w:sz w:val="24"/>
                <w:szCs w:val="24"/>
                <w:lang w:val="ru-RU"/>
              </w:rPr>
              <w:t xml:space="preserve"> </w:t>
            </w:r>
            <w:r w:rsidR="00725D93" w:rsidRPr="00141BED">
              <w:rPr>
                <w:rFonts w:ascii="Times New Roman" w:hAnsi="Times New Roman"/>
                <w:sz w:val="24"/>
                <w:szCs w:val="24"/>
              </w:rPr>
              <w:t xml:space="preserve"> </w:t>
            </w:r>
            <w:r w:rsidR="00725D93" w:rsidRPr="00141BED">
              <w:rPr>
                <w:rFonts w:ascii="Times New Roman" w:hAnsi="Times New Roman"/>
                <w:sz w:val="24"/>
                <w:szCs w:val="24"/>
                <w:lang w:val="ru-RU"/>
              </w:rPr>
              <w:t>Abdrasilov B. S.</w:t>
            </w:r>
          </w:p>
          <w:p w:rsidR="00A820F1" w:rsidRPr="00141BED" w:rsidRDefault="00725D93" w:rsidP="00C572D3">
            <w:pPr>
              <w:pStyle w:val="a8"/>
              <w:spacing w:line="360" w:lineRule="auto"/>
              <w:ind w:firstLine="709"/>
              <w:jc w:val="both"/>
              <w:rPr>
                <w:rFonts w:ascii="Times New Roman" w:hAnsi="Times New Roman"/>
                <w:sz w:val="24"/>
                <w:szCs w:val="24"/>
                <w:lang w:val="ru-RU"/>
              </w:rPr>
            </w:pPr>
            <w:r w:rsidRPr="00141BED">
              <w:rPr>
                <w:rFonts w:ascii="Times New Roman" w:hAnsi="Times New Roman"/>
                <w:sz w:val="24"/>
                <w:szCs w:val="24"/>
                <w:lang w:val="ru-RU"/>
              </w:rPr>
              <w:t>seal</w:t>
            </w:r>
          </w:p>
        </w:tc>
        <w:tc>
          <w:tcPr>
            <w:tcW w:w="5649" w:type="dxa"/>
            <w:gridSpan w:val="3"/>
            <w:shd w:val="clear" w:color="auto" w:fill="auto"/>
          </w:tcPr>
          <w:p w:rsidR="00A820F1" w:rsidRPr="00141BED" w:rsidRDefault="00725D93" w:rsidP="00C572D3">
            <w:pPr>
              <w:pStyle w:val="a8"/>
              <w:spacing w:line="360" w:lineRule="auto"/>
              <w:rPr>
                <w:rFonts w:ascii="Times New Roman" w:hAnsi="Times New Roman"/>
                <w:sz w:val="24"/>
                <w:szCs w:val="24"/>
              </w:rPr>
            </w:pPr>
            <w:r w:rsidRPr="00141BED">
              <w:rPr>
                <w:rFonts w:ascii="Times New Roman" w:hAnsi="Times New Roman"/>
                <w:sz w:val="24"/>
                <w:szCs w:val="24"/>
              </w:rPr>
              <w:t>From the Contractor</w:t>
            </w:r>
            <w:r w:rsidR="00A820F1" w:rsidRPr="00141BED">
              <w:rPr>
                <w:rFonts w:ascii="Times New Roman" w:hAnsi="Times New Roman"/>
                <w:sz w:val="24"/>
                <w:szCs w:val="24"/>
              </w:rPr>
              <w:t>:</w:t>
            </w:r>
          </w:p>
          <w:p w:rsidR="00725D93" w:rsidRPr="00141BED" w:rsidRDefault="00725D93" w:rsidP="00C572D3">
            <w:pPr>
              <w:pStyle w:val="a8"/>
              <w:spacing w:line="360" w:lineRule="auto"/>
              <w:rPr>
                <w:rFonts w:ascii="Times New Roman" w:hAnsi="Times New Roman"/>
                <w:i/>
                <w:sz w:val="24"/>
                <w:szCs w:val="24"/>
              </w:rPr>
            </w:pPr>
            <w:r w:rsidRPr="00141BED">
              <w:rPr>
                <w:rFonts w:ascii="Times New Roman" w:hAnsi="Times New Roman"/>
                <w:i/>
                <w:sz w:val="24"/>
                <w:szCs w:val="24"/>
              </w:rPr>
              <w:t xml:space="preserve">Interim acting General Director of </w:t>
            </w:r>
          </w:p>
          <w:p w:rsidR="00725D93" w:rsidRPr="00141BED" w:rsidRDefault="00725D93" w:rsidP="00C572D3">
            <w:pPr>
              <w:pStyle w:val="a8"/>
              <w:spacing w:line="360" w:lineRule="auto"/>
              <w:rPr>
                <w:rFonts w:ascii="Times New Roman" w:hAnsi="Times New Roman"/>
                <w:i/>
                <w:sz w:val="24"/>
                <w:szCs w:val="24"/>
              </w:rPr>
            </w:pPr>
            <w:r w:rsidRPr="00141BED">
              <w:rPr>
                <w:rFonts w:ascii="Times New Roman" w:hAnsi="Times New Roman"/>
                <w:i/>
                <w:sz w:val="24"/>
                <w:szCs w:val="24"/>
              </w:rPr>
              <w:t>KazRIFA LLP</w:t>
            </w:r>
          </w:p>
          <w:p w:rsidR="00A820F1" w:rsidRPr="00141BED" w:rsidRDefault="00A820F1" w:rsidP="00C572D3">
            <w:pPr>
              <w:pStyle w:val="a8"/>
              <w:spacing w:line="360" w:lineRule="auto"/>
              <w:rPr>
                <w:rFonts w:ascii="Times New Roman" w:hAnsi="Times New Roman"/>
                <w:sz w:val="24"/>
                <w:szCs w:val="24"/>
              </w:rPr>
            </w:pPr>
          </w:p>
          <w:p w:rsidR="00725D93" w:rsidRPr="00141BED" w:rsidRDefault="00725D93" w:rsidP="00C572D3">
            <w:pPr>
              <w:pStyle w:val="a8"/>
              <w:spacing w:line="360" w:lineRule="auto"/>
              <w:rPr>
                <w:rFonts w:ascii="Times New Roman" w:hAnsi="Times New Roman"/>
                <w:sz w:val="24"/>
                <w:szCs w:val="24"/>
              </w:rPr>
            </w:pPr>
          </w:p>
          <w:p w:rsidR="00725D93" w:rsidRPr="00141BED" w:rsidRDefault="00725D93" w:rsidP="00C572D3">
            <w:pPr>
              <w:pStyle w:val="a8"/>
              <w:spacing w:line="360" w:lineRule="auto"/>
              <w:rPr>
                <w:rFonts w:ascii="Times New Roman" w:hAnsi="Times New Roman"/>
                <w:sz w:val="24"/>
                <w:szCs w:val="24"/>
              </w:rPr>
            </w:pPr>
          </w:p>
          <w:p w:rsidR="00725D93" w:rsidRPr="00141BED" w:rsidRDefault="00725D93" w:rsidP="00C572D3">
            <w:pPr>
              <w:pStyle w:val="a8"/>
              <w:spacing w:line="360" w:lineRule="auto"/>
              <w:rPr>
                <w:rFonts w:ascii="Times New Roman" w:hAnsi="Times New Roman"/>
                <w:sz w:val="24"/>
                <w:szCs w:val="24"/>
              </w:rPr>
            </w:pPr>
          </w:p>
          <w:p w:rsidR="00A820F1" w:rsidRPr="00141BED" w:rsidRDefault="00A820F1" w:rsidP="00C572D3">
            <w:pPr>
              <w:pStyle w:val="a8"/>
              <w:spacing w:line="360" w:lineRule="auto"/>
              <w:rPr>
                <w:rFonts w:ascii="Times New Roman" w:hAnsi="Times New Roman"/>
                <w:sz w:val="24"/>
                <w:szCs w:val="24"/>
              </w:rPr>
            </w:pPr>
            <w:r w:rsidRPr="00141BED">
              <w:rPr>
                <w:rFonts w:ascii="Times New Roman" w:hAnsi="Times New Roman"/>
                <w:sz w:val="24"/>
                <w:szCs w:val="24"/>
              </w:rPr>
              <w:t>________________</w:t>
            </w:r>
            <w:r w:rsidR="00725D93" w:rsidRPr="00141BED">
              <w:rPr>
                <w:rFonts w:ascii="Times New Roman" w:hAnsi="Times New Roman"/>
                <w:i/>
                <w:sz w:val="24"/>
                <w:szCs w:val="24"/>
              </w:rPr>
              <w:t>Mukanov B.M</w:t>
            </w:r>
            <w:r w:rsidRPr="00141BED">
              <w:rPr>
                <w:rFonts w:ascii="Times New Roman" w:hAnsi="Times New Roman"/>
                <w:i/>
                <w:sz w:val="24"/>
                <w:szCs w:val="24"/>
              </w:rPr>
              <w:t>.</w:t>
            </w:r>
            <w:r w:rsidRPr="00141BED">
              <w:rPr>
                <w:rFonts w:ascii="Times New Roman" w:hAnsi="Times New Roman"/>
                <w:sz w:val="24"/>
                <w:szCs w:val="24"/>
              </w:rPr>
              <w:t xml:space="preserve"> </w:t>
            </w:r>
          </w:p>
          <w:p w:rsidR="00A820F1" w:rsidRPr="00141BED" w:rsidRDefault="00A820F1" w:rsidP="00C572D3">
            <w:pPr>
              <w:pStyle w:val="a8"/>
              <w:spacing w:line="360" w:lineRule="auto"/>
              <w:rPr>
                <w:rFonts w:ascii="Times New Roman" w:hAnsi="Times New Roman"/>
                <w:i/>
                <w:sz w:val="24"/>
                <w:szCs w:val="24"/>
              </w:rPr>
            </w:pPr>
            <w:r w:rsidRPr="00141BED">
              <w:rPr>
                <w:rFonts w:ascii="Times New Roman" w:hAnsi="Times New Roman"/>
                <w:sz w:val="24"/>
                <w:szCs w:val="24"/>
              </w:rPr>
              <w:t xml:space="preserve">              </w:t>
            </w:r>
            <w:r w:rsidR="00725D93" w:rsidRPr="00141BED">
              <w:rPr>
                <w:rFonts w:ascii="Times New Roman" w:hAnsi="Times New Roman"/>
                <w:sz w:val="24"/>
                <w:szCs w:val="24"/>
              </w:rPr>
              <w:t xml:space="preserve"> seal</w:t>
            </w:r>
          </w:p>
          <w:p w:rsidR="00A820F1" w:rsidRPr="00141BED" w:rsidRDefault="00A820F1" w:rsidP="00C572D3">
            <w:pPr>
              <w:spacing w:after="0" w:line="360" w:lineRule="auto"/>
              <w:jc w:val="right"/>
              <w:rPr>
                <w:rFonts w:ascii="Times New Roman" w:hAnsi="Times New Roman"/>
                <w:sz w:val="24"/>
                <w:szCs w:val="24"/>
                <w:lang w:val="en-US"/>
              </w:rPr>
            </w:pPr>
          </w:p>
          <w:p w:rsidR="00497913" w:rsidRPr="00141BED" w:rsidRDefault="00A820F1" w:rsidP="00C572D3">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 xml:space="preserve">                          </w:t>
            </w:r>
            <w:r w:rsidR="00497913" w:rsidRPr="00141BED">
              <w:rPr>
                <w:rFonts w:ascii="Times New Roman" w:hAnsi="Times New Roman"/>
                <w:sz w:val="24"/>
                <w:szCs w:val="24"/>
                <w:lang w:val="en-US"/>
              </w:rPr>
              <w:t xml:space="preserve"> Familiarized with:</w:t>
            </w:r>
          </w:p>
          <w:p w:rsidR="00497913" w:rsidRPr="00141BED" w:rsidRDefault="00497913" w:rsidP="00C572D3">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Scientific supervisor of the project</w:t>
            </w:r>
          </w:p>
          <w:p w:rsidR="00497913" w:rsidRPr="00141BED" w:rsidRDefault="00497913" w:rsidP="00C572D3">
            <w:pPr>
              <w:spacing w:after="0" w:line="360" w:lineRule="auto"/>
              <w:jc w:val="center"/>
              <w:rPr>
                <w:rFonts w:ascii="Times New Roman" w:hAnsi="Times New Roman"/>
                <w:sz w:val="24"/>
                <w:szCs w:val="24"/>
                <w:lang w:val="en-US"/>
              </w:rPr>
            </w:pPr>
          </w:p>
          <w:p w:rsidR="00497913" w:rsidRPr="00141BED" w:rsidRDefault="00497913" w:rsidP="00C572D3">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___________________ Mukanov B.M.</w:t>
            </w:r>
          </w:p>
          <w:p w:rsidR="00A820F1" w:rsidRPr="00141BED" w:rsidRDefault="00497913" w:rsidP="00C572D3">
            <w:pPr>
              <w:spacing w:after="0" w:line="360" w:lineRule="auto"/>
              <w:rPr>
                <w:rFonts w:ascii="Times New Roman" w:hAnsi="Times New Roman"/>
                <w:sz w:val="24"/>
                <w:szCs w:val="24"/>
              </w:rPr>
            </w:pPr>
            <w:r w:rsidRPr="00141BED">
              <w:rPr>
                <w:rFonts w:ascii="Times New Roman" w:hAnsi="Times New Roman"/>
                <w:sz w:val="24"/>
                <w:szCs w:val="24"/>
                <w:lang w:val="en-US"/>
              </w:rPr>
              <w:t xml:space="preserve">                        </w:t>
            </w:r>
            <w:r w:rsidRPr="00141BED">
              <w:rPr>
                <w:rFonts w:ascii="Times New Roman" w:hAnsi="Times New Roman"/>
                <w:sz w:val="24"/>
                <w:szCs w:val="24"/>
              </w:rPr>
              <w:t>(signature)</w:t>
            </w:r>
          </w:p>
        </w:tc>
      </w:tr>
    </w:tbl>
    <w:p w:rsidR="00A85021" w:rsidRPr="009E2CEA" w:rsidRDefault="00E65479" w:rsidP="00A85021">
      <w:pPr>
        <w:pStyle w:val="a8"/>
        <w:spacing w:line="360" w:lineRule="auto"/>
        <w:jc w:val="center"/>
        <w:rPr>
          <w:rFonts w:ascii="Times New Roman" w:hAnsi="Times New Roman"/>
          <w:b/>
          <w:sz w:val="24"/>
          <w:szCs w:val="24"/>
          <w:lang w:val="ru-RU"/>
        </w:rPr>
      </w:pPr>
      <w:r w:rsidRPr="009E2CEA">
        <w:rPr>
          <w:rFonts w:ascii="Times New Roman" w:hAnsi="Times New Roman"/>
          <w:b/>
          <w:sz w:val="24"/>
          <w:szCs w:val="24"/>
        </w:rPr>
        <w:lastRenderedPageBreak/>
        <w:t>APPENDIX B</w:t>
      </w:r>
    </w:p>
    <w:p w:rsidR="00E65479" w:rsidRPr="009E2CEA" w:rsidRDefault="00E65479" w:rsidP="00A85021">
      <w:pPr>
        <w:pStyle w:val="a8"/>
        <w:spacing w:line="360" w:lineRule="auto"/>
        <w:jc w:val="center"/>
        <w:rPr>
          <w:rFonts w:ascii="Times New Roman" w:hAnsi="Times New Roman"/>
          <w:b/>
          <w:sz w:val="24"/>
          <w:szCs w:val="24"/>
          <w:lang w:val="ru-RU"/>
        </w:rPr>
      </w:pPr>
    </w:p>
    <w:p w:rsidR="00A85021" w:rsidRPr="009E2CEA" w:rsidRDefault="00A85021" w:rsidP="00A85021">
      <w:pPr>
        <w:pStyle w:val="a8"/>
        <w:spacing w:line="360" w:lineRule="auto"/>
        <w:jc w:val="center"/>
        <w:rPr>
          <w:rFonts w:ascii="Times New Roman" w:hAnsi="Times New Roman"/>
          <w:b/>
          <w:sz w:val="24"/>
          <w:szCs w:val="24"/>
        </w:rPr>
      </w:pPr>
      <w:r w:rsidRPr="009E2CEA">
        <w:rPr>
          <w:rFonts w:ascii="Times New Roman" w:hAnsi="Times New Roman"/>
          <w:b/>
          <w:sz w:val="24"/>
          <w:szCs w:val="24"/>
        </w:rPr>
        <w:t>Extract from the protocol on the replacement of the supervisor</w:t>
      </w:r>
    </w:p>
    <w:p w:rsidR="00E65479" w:rsidRPr="00907B5F" w:rsidRDefault="00E65479" w:rsidP="00A85021">
      <w:pPr>
        <w:pStyle w:val="a8"/>
        <w:spacing w:line="360" w:lineRule="auto"/>
        <w:jc w:val="center"/>
        <w:rPr>
          <w:rFonts w:ascii="Times New Roman" w:hAnsi="Times New Roman"/>
          <w:sz w:val="24"/>
          <w:szCs w:val="24"/>
        </w:rPr>
      </w:pPr>
    </w:p>
    <w:p w:rsidR="00A85021" w:rsidRPr="00F42AFF" w:rsidRDefault="00F42AFF" w:rsidP="00A85021">
      <w:pPr>
        <w:pStyle w:val="a8"/>
        <w:spacing w:line="360" w:lineRule="auto"/>
        <w:jc w:val="center"/>
        <w:rPr>
          <w:rFonts w:ascii="Times New Roman" w:hAnsi="Times New Roman"/>
          <w:sz w:val="24"/>
          <w:szCs w:val="24"/>
        </w:rPr>
      </w:pPr>
      <w:proofErr w:type="gramStart"/>
      <w:r>
        <w:rPr>
          <w:rFonts w:ascii="Times New Roman" w:hAnsi="Times New Roman"/>
          <w:sz w:val="24"/>
          <w:szCs w:val="24"/>
          <w:lang w:val="ru-RU"/>
        </w:rPr>
        <w:t>Е</w:t>
      </w:r>
      <w:proofErr w:type="gramEnd"/>
      <w:r w:rsidRPr="00F42AFF">
        <w:rPr>
          <w:rFonts w:ascii="Times New Roman" w:hAnsi="Times New Roman"/>
          <w:sz w:val="24"/>
          <w:szCs w:val="24"/>
        </w:rPr>
        <w:t>xtract № 1 from the Protocol of the meeting of the national scientific council on the priority direction «Management of natural resources, including water resources, geology, processing, new materials and technologies, safe products and structures»</w:t>
      </w:r>
    </w:p>
    <w:p w:rsidR="00F42AFF" w:rsidRPr="00F42AFF" w:rsidRDefault="00F42AFF" w:rsidP="00A85021">
      <w:pPr>
        <w:pStyle w:val="a8"/>
        <w:spacing w:line="360" w:lineRule="auto"/>
        <w:jc w:val="center"/>
        <w:rPr>
          <w:rFonts w:ascii="Times New Roman" w:hAnsi="Times New Roman"/>
          <w:sz w:val="24"/>
          <w:szCs w:val="24"/>
          <w:lang w:val="ru-RU"/>
        </w:rPr>
      </w:pPr>
      <w:r>
        <w:rPr>
          <w:rFonts w:ascii="Times New Roman" w:hAnsi="Times New Roman"/>
          <w:sz w:val="24"/>
          <w:szCs w:val="24"/>
          <w:lang w:val="ru-RU"/>
        </w:rPr>
        <w:t>№ 8 о</w:t>
      </w:r>
      <w:proofErr w:type="gramStart"/>
      <w:r>
        <w:rPr>
          <w:rFonts w:ascii="Times New Roman" w:hAnsi="Times New Roman"/>
          <w:sz w:val="24"/>
          <w:szCs w:val="24"/>
        </w:rPr>
        <w:t>f</w:t>
      </w:r>
      <w:proofErr w:type="gramEnd"/>
      <w:r>
        <w:rPr>
          <w:rFonts w:ascii="Times New Roman" w:hAnsi="Times New Roman"/>
          <w:sz w:val="24"/>
          <w:szCs w:val="24"/>
        </w:rPr>
        <w:t xml:space="preserve"> 12 </w:t>
      </w:r>
      <w:r w:rsidRPr="00F42AFF">
        <w:rPr>
          <w:rFonts w:ascii="Times New Roman" w:hAnsi="Times New Roman"/>
          <w:sz w:val="24"/>
          <w:szCs w:val="24"/>
        </w:rPr>
        <w:t>November</w:t>
      </w:r>
      <w:r>
        <w:rPr>
          <w:rFonts w:ascii="Times New Roman" w:hAnsi="Times New Roman"/>
          <w:sz w:val="24"/>
          <w:szCs w:val="24"/>
        </w:rPr>
        <w:t xml:space="preserve"> 2019 </w:t>
      </w:r>
      <w:r>
        <w:rPr>
          <w:rFonts w:ascii="Times New Roman" w:hAnsi="Times New Roman"/>
          <w:sz w:val="24"/>
          <w:szCs w:val="24"/>
          <w:lang w:val="ru-RU"/>
        </w:rPr>
        <w:t>у.</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1907"/>
        <w:gridCol w:w="2102"/>
        <w:gridCol w:w="1635"/>
        <w:gridCol w:w="1635"/>
        <w:gridCol w:w="1270"/>
      </w:tblGrid>
      <w:tr w:rsidR="00FC4C32" w:rsidTr="00FC4C32">
        <w:trPr>
          <w:trHeight w:val="299"/>
        </w:trPr>
        <w:tc>
          <w:tcPr>
            <w:tcW w:w="623" w:type="dxa"/>
          </w:tcPr>
          <w:p w:rsidR="00FC4C32" w:rsidRDefault="00FC4C32" w:rsidP="00FC4C32">
            <w:pPr>
              <w:pStyle w:val="a3"/>
              <w:spacing w:after="0" w:line="360" w:lineRule="auto"/>
              <w:ind w:left="0"/>
              <w:jc w:val="center"/>
              <w:rPr>
                <w:rFonts w:ascii="Times New Roman" w:hAnsi="Times New Roman"/>
                <w:noProof/>
                <w:sz w:val="24"/>
                <w:szCs w:val="24"/>
                <w:lang w:val="en-US" w:eastAsia="ru-RU"/>
              </w:rPr>
            </w:pPr>
          </w:p>
        </w:tc>
        <w:tc>
          <w:tcPr>
            <w:tcW w:w="1907" w:type="dxa"/>
          </w:tcPr>
          <w:p w:rsidR="00FC4C32" w:rsidRDefault="00FC4C32" w:rsidP="00FC4C32">
            <w:pPr>
              <w:pStyle w:val="a3"/>
              <w:spacing w:after="0" w:line="360" w:lineRule="auto"/>
              <w:ind w:left="0"/>
              <w:jc w:val="center"/>
              <w:rPr>
                <w:rFonts w:ascii="Times New Roman" w:hAnsi="Times New Roman"/>
                <w:noProof/>
                <w:sz w:val="24"/>
                <w:szCs w:val="24"/>
                <w:lang w:val="en-US" w:eastAsia="ru-RU"/>
              </w:rPr>
            </w:pPr>
          </w:p>
        </w:tc>
        <w:tc>
          <w:tcPr>
            <w:tcW w:w="2102" w:type="dxa"/>
          </w:tcPr>
          <w:p w:rsidR="00FC4C32" w:rsidRDefault="00FC4C32" w:rsidP="00FC4C32">
            <w:pPr>
              <w:pStyle w:val="a3"/>
              <w:spacing w:after="0" w:line="360" w:lineRule="auto"/>
              <w:ind w:left="0"/>
              <w:jc w:val="center"/>
              <w:rPr>
                <w:rFonts w:ascii="Times New Roman" w:hAnsi="Times New Roman"/>
                <w:noProof/>
                <w:sz w:val="24"/>
                <w:szCs w:val="24"/>
                <w:lang w:val="en-US" w:eastAsia="ru-RU"/>
              </w:rPr>
            </w:pPr>
          </w:p>
        </w:tc>
        <w:tc>
          <w:tcPr>
            <w:tcW w:w="1635" w:type="dxa"/>
          </w:tcPr>
          <w:p w:rsidR="00FC4C32" w:rsidRDefault="00FC4C32" w:rsidP="00FC4C32">
            <w:pPr>
              <w:pStyle w:val="a3"/>
              <w:spacing w:after="0" w:line="360" w:lineRule="auto"/>
              <w:ind w:left="0"/>
              <w:jc w:val="center"/>
              <w:rPr>
                <w:rFonts w:ascii="Times New Roman" w:hAnsi="Times New Roman"/>
                <w:noProof/>
                <w:sz w:val="24"/>
                <w:szCs w:val="24"/>
                <w:lang w:val="en-US" w:eastAsia="ru-RU"/>
              </w:rPr>
            </w:pPr>
          </w:p>
        </w:tc>
        <w:tc>
          <w:tcPr>
            <w:tcW w:w="1635" w:type="dxa"/>
          </w:tcPr>
          <w:p w:rsidR="00FC4C32" w:rsidRDefault="00FC4C32" w:rsidP="00FC4C32">
            <w:pPr>
              <w:pStyle w:val="a3"/>
              <w:spacing w:after="0" w:line="360" w:lineRule="auto"/>
              <w:ind w:left="0"/>
              <w:jc w:val="center"/>
              <w:rPr>
                <w:rFonts w:ascii="Times New Roman" w:hAnsi="Times New Roman"/>
                <w:noProof/>
                <w:sz w:val="24"/>
                <w:szCs w:val="24"/>
                <w:lang w:val="en-US" w:eastAsia="ru-RU"/>
              </w:rPr>
            </w:pPr>
            <w:r w:rsidRPr="00A85021">
              <w:rPr>
                <w:rFonts w:ascii="Times New Roman" w:hAnsi="Times New Roman"/>
                <w:noProof/>
                <w:sz w:val="24"/>
                <w:szCs w:val="24"/>
                <w:lang w:val="en-US" w:eastAsia="ru-RU"/>
              </w:rPr>
              <w:br w:type="page"/>
            </w:r>
          </w:p>
        </w:tc>
        <w:tc>
          <w:tcPr>
            <w:tcW w:w="1270" w:type="dxa"/>
          </w:tcPr>
          <w:p w:rsidR="00FC4C32" w:rsidRDefault="00FC4C32" w:rsidP="00FC4C32">
            <w:pPr>
              <w:pStyle w:val="a3"/>
              <w:spacing w:after="0" w:line="360" w:lineRule="auto"/>
              <w:ind w:left="0"/>
              <w:jc w:val="center"/>
              <w:rPr>
                <w:rFonts w:ascii="Times New Roman" w:hAnsi="Times New Roman"/>
                <w:noProof/>
                <w:sz w:val="24"/>
                <w:szCs w:val="24"/>
                <w:lang w:val="en-US" w:eastAsia="ru-RU"/>
              </w:rPr>
            </w:pPr>
          </w:p>
        </w:tc>
      </w:tr>
      <w:tr w:rsidR="00FC4C32" w:rsidRPr="00911CCD" w:rsidTr="00FC4C32">
        <w:trPr>
          <w:trHeight w:val="363"/>
        </w:trPr>
        <w:tc>
          <w:tcPr>
            <w:tcW w:w="623" w:type="dxa"/>
          </w:tcPr>
          <w:p w:rsidR="00FC4C32" w:rsidRPr="00FC4C32" w:rsidRDefault="00FC4C32" w:rsidP="00FC4C32">
            <w:pPr>
              <w:pStyle w:val="a3"/>
              <w:spacing w:after="0" w:line="360" w:lineRule="auto"/>
              <w:ind w:left="0"/>
              <w:jc w:val="center"/>
              <w:rPr>
                <w:rFonts w:ascii="Times New Roman" w:hAnsi="Times New Roman"/>
                <w:noProof/>
                <w:sz w:val="24"/>
                <w:szCs w:val="24"/>
                <w:lang w:val="ru-RU" w:eastAsia="ru-RU"/>
              </w:rPr>
            </w:pPr>
            <w:r>
              <w:rPr>
                <w:rFonts w:ascii="Times New Roman" w:hAnsi="Times New Roman"/>
                <w:noProof/>
                <w:sz w:val="24"/>
                <w:szCs w:val="24"/>
                <w:lang w:val="ru-RU" w:eastAsia="ru-RU"/>
              </w:rPr>
              <w:t>12</w:t>
            </w:r>
          </w:p>
        </w:tc>
        <w:tc>
          <w:tcPr>
            <w:tcW w:w="1907" w:type="dxa"/>
          </w:tcPr>
          <w:p w:rsidR="00FC4C32" w:rsidRPr="00FC4C32" w:rsidRDefault="00FC4C32" w:rsidP="00FC4C32">
            <w:pPr>
              <w:pStyle w:val="a3"/>
              <w:spacing w:after="0" w:line="360" w:lineRule="auto"/>
              <w:ind w:left="0"/>
              <w:jc w:val="center"/>
              <w:rPr>
                <w:rFonts w:ascii="Times New Roman" w:hAnsi="Times New Roman"/>
                <w:noProof/>
                <w:sz w:val="24"/>
                <w:szCs w:val="24"/>
                <w:lang w:val="ru-RU" w:eastAsia="ru-RU"/>
              </w:rPr>
            </w:pPr>
            <w:r>
              <w:rPr>
                <w:rFonts w:ascii="Times New Roman" w:hAnsi="Times New Roman"/>
                <w:noProof/>
                <w:sz w:val="24"/>
                <w:szCs w:val="24"/>
                <w:lang w:val="en-US" w:eastAsia="ru-RU"/>
              </w:rPr>
              <w:t>CS VES</w:t>
            </w:r>
            <w:r>
              <w:rPr>
                <w:rFonts w:ascii="Times New Roman" w:hAnsi="Times New Roman"/>
                <w:noProof/>
                <w:sz w:val="24"/>
                <w:szCs w:val="24"/>
                <w:lang w:val="ru-RU" w:eastAsia="ru-RU"/>
              </w:rPr>
              <w:t xml:space="preserve"> </w:t>
            </w:r>
            <w:r>
              <w:rPr>
                <w:rFonts w:ascii="Times New Roman" w:hAnsi="Times New Roman"/>
                <w:noProof/>
                <w:sz w:val="24"/>
                <w:szCs w:val="24"/>
                <w:lang w:val="en-US" w:eastAsia="ru-RU"/>
              </w:rPr>
              <w:t>KZ</w:t>
            </w:r>
            <w:r>
              <w:rPr>
                <w:rFonts w:ascii="Times New Roman" w:hAnsi="Times New Roman"/>
                <w:noProof/>
                <w:sz w:val="24"/>
                <w:szCs w:val="24"/>
                <w:lang w:val="ru-RU" w:eastAsia="ru-RU"/>
              </w:rPr>
              <w:t xml:space="preserve"> № 18-1-18/4736 от 16.09.2019</w:t>
            </w:r>
          </w:p>
        </w:tc>
        <w:tc>
          <w:tcPr>
            <w:tcW w:w="2102" w:type="dxa"/>
          </w:tcPr>
          <w:p w:rsidR="00FC4C32" w:rsidRPr="00FC4C32" w:rsidRDefault="00FC4C32" w:rsidP="00FC4C32">
            <w:pPr>
              <w:spacing w:after="0" w:line="360" w:lineRule="auto"/>
              <w:jc w:val="both"/>
              <w:rPr>
                <w:rFonts w:ascii="Times New Roman" w:hAnsi="Times New Roman"/>
                <w:sz w:val="24"/>
                <w:szCs w:val="24"/>
                <w:lang w:val="en-US"/>
              </w:rPr>
            </w:pPr>
            <w:r>
              <w:rPr>
                <w:rFonts w:ascii="Times New Roman" w:hAnsi="Times New Roman"/>
                <w:sz w:val="24"/>
                <w:szCs w:val="24"/>
              </w:rPr>
              <w:t>АР</w:t>
            </w:r>
            <w:r w:rsidRPr="00FC4C32">
              <w:rPr>
                <w:rFonts w:ascii="Times New Roman" w:hAnsi="Times New Roman"/>
                <w:sz w:val="24"/>
                <w:szCs w:val="24"/>
                <w:lang w:val="en-US"/>
              </w:rPr>
              <w:t>05131107</w:t>
            </w:r>
          </w:p>
          <w:p w:rsidR="00FC4C32" w:rsidRPr="00FC4C32" w:rsidRDefault="00FC4C32" w:rsidP="00FC4C32">
            <w:pPr>
              <w:spacing w:after="0" w:line="360" w:lineRule="auto"/>
              <w:jc w:val="both"/>
              <w:rPr>
                <w:rFonts w:ascii="Times New Roman" w:hAnsi="Times New Roman"/>
                <w:sz w:val="24"/>
                <w:szCs w:val="24"/>
                <w:lang w:val="en-US"/>
              </w:rPr>
            </w:pPr>
            <w:r w:rsidRPr="00FC4C32">
              <w:rPr>
                <w:rFonts w:ascii="Times New Roman" w:hAnsi="Times New Roman"/>
                <w:sz w:val="24"/>
                <w:szCs w:val="24"/>
                <w:lang w:val="en-US"/>
              </w:rPr>
              <w:t>«</w:t>
            </w:r>
            <w:r w:rsidRPr="00141BED">
              <w:rPr>
                <w:rFonts w:ascii="Times New Roman" w:hAnsi="Times New Roman"/>
                <w:sz w:val="24"/>
                <w:szCs w:val="24"/>
                <w:lang w:val="en-US"/>
              </w:rPr>
              <w:t xml:space="preserve">Study of climatogenic and anthropogenic dynamics of </w:t>
            </w:r>
            <w:hyperlink r:id="rId37" w:history="1">
              <w:r w:rsidRPr="00141BED">
                <w:rPr>
                  <w:rFonts w:ascii="Times New Roman" w:hAnsi="Times New Roman"/>
                  <w:sz w:val="24"/>
                  <w:szCs w:val="24"/>
                  <w:lang w:val="en-US"/>
                </w:rPr>
                <w:t>pine forest</w:t>
              </w:r>
            </w:hyperlink>
            <w:r w:rsidRPr="00141BED">
              <w:rPr>
                <w:rFonts w:ascii="Times New Roman" w:hAnsi="Times New Roman"/>
                <w:sz w:val="24"/>
                <w:szCs w:val="24"/>
                <w:lang w:val="en-US"/>
              </w:rPr>
              <w:t>s</w:t>
            </w:r>
            <w:r w:rsidRPr="00141BED">
              <w:rPr>
                <w:rFonts w:ascii="Times New Roman" w:hAnsi="Times New Roman"/>
                <w:b/>
                <w:sz w:val="24"/>
                <w:szCs w:val="24"/>
                <w:lang w:val="en-US"/>
              </w:rPr>
              <w:t xml:space="preserve"> </w:t>
            </w:r>
            <w:r w:rsidRPr="00141BED">
              <w:rPr>
                <w:rFonts w:ascii="Times New Roman" w:hAnsi="Times New Roman"/>
                <w:sz w:val="24"/>
                <w:szCs w:val="24"/>
                <w:lang w:val="en-US"/>
              </w:rPr>
              <w:t>of Kazakhstan by methods of dendrochronology</w:t>
            </w:r>
            <w:r w:rsidRPr="00FC4C32">
              <w:rPr>
                <w:rFonts w:ascii="Times New Roman" w:hAnsi="Times New Roman"/>
                <w:sz w:val="24"/>
                <w:szCs w:val="24"/>
                <w:lang w:val="en-US"/>
              </w:rPr>
              <w:t>»</w:t>
            </w:r>
          </w:p>
          <w:p w:rsidR="00FC4C32" w:rsidRPr="00A85021" w:rsidRDefault="00FC4C32" w:rsidP="00FC4C32">
            <w:pPr>
              <w:pStyle w:val="a3"/>
              <w:spacing w:after="0" w:line="360" w:lineRule="auto"/>
              <w:ind w:left="0"/>
              <w:jc w:val="center"/>
              <w:rPr>
                <w:rFonts w:ascii="Times New Roman" w:hAnsi="Times New Roman"/>
                <w:noProof/>
                <w:sz w:val="24"/>
                <w:szCs w:val="24"/>
                <w:lang w:val="en-US" w:eastAsia="ru-RU"/>
              </w:rPr>
            </w:pPr>
          </w:p>
        </w:tc>
        <w:tc>
          <w:tcPr>
            <w:tcW w:w="1635" w:type="dxa"/>
          </w:tcPr>
          <w:p w:rsidR="00CD2054" w:rsidRPr="00141BED" w:rsidRDefault="00CD2054" w:rsidP="00CD2054">
            <w:pPr>
              <w:spacing w:after="0" w:line="360" w:lineRule="auto"/>
              <w:jc w:val="center"/>
              <w:rPr>
                <w:rFonts w:ascii="Times New Roman" w:hAnsi="Times New Roman"/>
                <w:sz w:val="24"/>
                <w:szCs w:val="24"/>
                <w:lang w:val="en-US"/>
              </w:rPr>
            </w:pPr>
            <w:r w:rsidRPr="00141BED">
              <w:rPr>
                <w:rFonts w:ascii="Times New Roman" w:hAnsi="Times New Roman"/>
                <w:sz w:val="24"/>
                <w:szCs w:val="24"/>
                <w:lang w:val="en-US"/>
              </w:rPr>
              <w:t xml:space="preserve">llp "Kazakh research institute of forestry and agroforestry named after A.N. Bukeikhan" </w:t>
            </w:r>
          </w:p>
          <w:p w:rsidR="00FC4C32" w:rsidRPr="00A85021" w:rsidRDefault="00FC4C32" w:rsidP="00FC4C32">
            <w:pPr>
              <w:pStyle w:val="a3"/>
              <w:spacing w:after="0" w:line="360" w:lineRule="auto"/>
              <w:ind w:left="0"/>
              <w:jc w:val="center"/>
              <w:rPr>
                <w:rFonts w:ascii="Times New Roman" w:hAnsi="Times New Roman"/>
                <w:noProof/>
                <w:sz w:val="24"/>
                <w:szCs w:val="24"/>
                <w:lang w:val="en-US" w:eastAsia="ru-RU"/>
              </w:rPr>
            </w:pPr>
          </w:p>
        </w:tc>
        <w:tc>
          <w:tcPr>
            <w:tcW w:w="1635" w:type="dxa"/>
          </w:tcPr>
          <w:p w:rsidR="00FC4C32" w:rsidRPr="00A85021" w:rsidRDefault="00FC467A" w:rsidP="00FC4C32">
            <w:pPr>
              <w:pStyle w:val="a3"/>
              <w:spacing w:after="0" w:line="360" w:lineRule="auto"/>
              <w:ind w:left="0"/>
              <w:jc w:val="center"/>
              <w:rPr>
                <w:rFonts w:ascii="Times New Roman" w:hAnsi="Times New Roman"/>
                <w:noProof/>
                <w:sz w:val="24"/>
                <w:szCs w:val="24"/>
                <w:lang w:val="en-US" w:eastAsia="ru-RU"/>
              </w:rPr>
            </w:pPr>
            <w:r w:rsidRPr="00FC467A">
              <w:rPr>
                <w:rFonts w:ascii="Times New Roman" w:hAnsi="Times New Roman"/>
                <w:noProof/>
                <w:sz w:val="24"/>
                <w:szCs w:val="24"/>
                <w:lang w:val="en-US" w:eastAsia="ru-RU"/>
              </w:rPr>
              <w:t>On the replacement of the supervisor with S. Kabanova.</w:t>
            </w:r>
          </w:p>
        </w:tc>
        <w:tc>
          <w:tcPr>
            <w:tcW w:w="1270" w:type="dxa"/>
          </w:tcPr>
          <w:p w:rsidR="00FC4C32" w:rsidRPr="00A85021" w:rsidRDefault="00FC467A" w:rsidP="00FC4C32">
            <w:pPr>
              <w:pStyle w:val="a3"/>
              <w:spacing w:after="0" w:line="360" w:lineRule="auto"/>
              <w:ind w:left="0"/>
              <w:jc w:val="center"/>
              <w:rPr>
                <w:rFonts w:ascii="Times New Roman" w:hAnsi="Times New Roman"/>
                <w:noProof/>
                <w:sz w:val="24"/>
                <w:szCs w:val="24"/>
                <w:lang w:val="en-US" w:eastAsia="ru-RU"/>
              </w:rPr>
            </w:pPr>
            <w:r>
              <w:rPr>
                <w:rFonts w:ascii="Times New Roman" w:hAnsi="Times New Roman"/>
                <w:noProof/>
                <w:sz w:val="24"/>
                <w:szCs w:val="24"/>
                <w:lang w:val="ru-RU" w:eastAsia="ru-RU"/>
              </w:rPr>
              <w:t>А</w:t>
            </w:r>
            <w:r w:rsidRPr="00FC467A">
              <w:rPr>
                <w:rFonts w:ascii="Times New Roman" w:hAnsi="Times New Roman"/>
                <w:noProof/>
                <w:sz w:val="24"/>
                <w:szCs w:val="24"/>
                <w:lang w:val="en-US" w:eastAsia="ru-RU"/>
              </w:rPr>
              <w:t>ccording to the results of open voting, the appeal was approved by a majority of votes</w:t>
            </w:r>
          </w:p>
        </w:tc>
      </w:tr>
    </w:tbl>
    <w:p w:rsidR="00FC4C32" w:rsidRDefault="00FC4C32" w:rsidP="00141BED">
      <w:pPr>
        <w:pStyle w:val="a3"/>
        <w:spacing w:after="0" w:line="360" w:lineRule="auto"/>
        <w:ind w:left="0" w:firstLine="567"/>
        <w:jc w:val="center"/>
        <w:rPr>
          <w:rFonts w:ascii="Times New Roman" w:hAnsi="Times New Roman"/>
          <w:sz w:val="24"/>
          <w:szCs w:val="24"/>
          <w:lang w:val="en-US"/>
        </w:rPr>
      </w:pPr>
    </w:p>
    <w:p w:rsidR="00FC4C32" w:rsidRDefault="00FC4C32">
      <w:pPr>
        <w:spacing w:after="160" w:line="259" w:lineRule="auto"/>
        <w:rPr>
          <w:rFonts w:ascii="Times New Roman" w:hAnsi="Times New Roman"/>
          <w:sz w:val="24"/>
          <w:szCs w:val="24"/>
          <w:lang w:val="en-US" w:eastAsia="x-none"/>
        </w:rPr>
      </w:pPr>
      <w:r>
        <w:rPr>
          <w:rFonts w:ascii="Times New Roman" w:hAnsi="Times New Roman"/>
          <w:sz w:val="24"/>
          <w:szCs w:val="24"/>
          <w:lang w:val="en-US"/>
        </w:rPr>
        <w:br w:type="page"/>
      </w:r>
    </w:p>
    <w:p w:rsidR="00F42AFF" w:rsidRPr="009E2CEA" w:rsidRDefault="00E65479" w:rsidP="00F42AFF">
      <w:pPr>
        <w:pStyle w:val="a8"/>
        <w:spacing w:line="360" w:lineRule="auto"/>
        <w:jc w:val="center"/>
        <w:rPr>
          <w:rFonts w:ascii="Times New Roman" w:hAnsi="Times New Roman"/>
          <w:b/>
          <w:sz w:val="24"/>
          <w:szCs w:val="24"/>
        </w:rPr>
      </w:pPr>
      <w:r w:rsidRPr="009E2CEA">
        <w:rPr>
          <w:rFonts w:ascii="Times New Roman" w:hAnsi="Times New Roman"/>
          <w:b/>
          <w:sz w:val="24"/>
          <w:szCs w:val="24"/>
        </w:rPr>
        <w:lastRenderedPageBreak/>
        <w:t>APPENDIX V</w:t>
      </w:r>
    </w:p>
    <w:p w:rsidR="000C7917" w:rsidRPr="009E2CEA" w:rsidRDefault="000C7917" w:rsidP="00141BED">
      <w:pPr>
        <w:autoSpaceDE w:val="0"/>
        <w:autoSpaceDN w:val="0"/>
        <w:adjustRightInd w:val="0"/>
        <w:spacing w:after="0" w:line="360" w:lineRule="auto"/>
        <w:ind w:firstLine="567"/>
        <w:jc w:val="center"/>
        <w:rPr>
          <w:rFonts w:ascii="Times New Roman" w:hAnsi="Times New Roman"/>
          <w:b/>
          <w:sz w:val="24"/>
          <w:szCs w:val="24"/>
          <w:lang w:val="en-US" w:eastAsia="x-none"/>
        </w:rPr>
      </w:pPr>
    </w:p>
    <w:p w:rsidR="000C7917" w:rsidRPr="009E2CEA" w:rsidRDefault="000C7917" w:rsidP="00141BED">
      <w:pPr>
        <w:autoSpaceDE w:val="0"/>
        <w:autoSpaceDN w:val="0"/>
        <w:adjustRightInd w:val="0"/>
        <w:spacing w:after="0" w:line="360" w:lineRule="auto"/>
        <w:ind w:firstLine="567"/>
        <w:jc w:val="center"/>
        <w:rPr>
          <w:rFonts w:ascii="Times New Roman" w:hAnsi="Times New Roman"/>
          <w:b/>
          <w:sz w:val="24"/>
          <w:szCs w:val="24"/>
          <w:lang w:val="en-US" w:eastAsia="x-none"/>
        </w:rPr>
      </w:pPr>
      <w:r w:rsidRPr="009E2CEA">
        <w:rPr>
          <w:rFonts w:ascii="Times New Roman" w:hAnsi="Times New Roman"/>
          <w:b/>
          <w:sz w:val="24"/>
          <w:szCs w:val="24"/>
          <w:lang w:val="en-US" w:eastAsia="x-none"/>
        </w:rPr>
        <w:t>List of published articles</w:t>
      </w:r>
    </w:p>
    <w:p w:rsidR="000C7917" w:rsidRPr="009E2CEA" w:rsidRDefault="009E2CEA" w:rsidP="00141BED">
      <w:pPr>
        <w:autoSpaceDE w:val="0"/>
        <w:autoSpaceDN w:val="0"/>
        <w:adjustRightInd w:val="0"/>
        <w:spacing w:after="0" w:line="360" w:lineRule="auto"/>
        <w:ind w:firstLine="567"/>
        <w:jc w:val="both"/>
        <w:rPr>
          <w:rFonts w:ascii="Times New Roman" w:hAnsi="Times New Roman"/>
          <w:sz w:val="24"/>
          <w:szCs w:val="24"/>
          <w:lang w:val="en-US" w:eastAsia="x-none"/>
        </w:rPr>
      </w:pPr>
      <w:r w:rsidRPr="009E2CEA">
        <w:rPr>
          <w:rFonts w:ascii="Times New Roman" w:hAnsi="Times New Roman"/>
          <w:sz w:val="24"/>
          <w:szCs w:val="24"/>
          <w:lang w:val="en-US" w:eastAsia="x-none"/>
        </w:rPr>
        <w:t xml:space="preserve">2018 </w:t>
      </w:r>
      <w:r>
        <w:rPr>
          <w:rFonts w:ascii="Times New Roman" w:hAnsi="Times New Roman"/>
          <w:sz w:val="24"/>
          <w:szCs w:val="24"/>
          <w:lang w:val="en-US" w:eastAsia="x-none"/>
        </w:rPr>
        <w:t>y</w:t>
      </w:r>
    </w:p>
    <w:p w:rsidR="009E2CEA" w:rsidRPr="009E2CEA" w:rsidRDefault="009E2CEA" w:rsidP="00141BED">
      <w:pPr>
        <w:autoSpaceDE w:val="0"/>
        <w:autoSpaceDN w:val="0"/>
        <w:adjustRightInd w:val="0"/>
        <w:spacing w:after="0" w:line="360" w:lineRule="auto"/>
        <w:ind w:firstLine="567"/>
        <w:jc w:val="both"/>
        <w:rPr>
          <w:rFonts w:ascii="Times New Roman" w:hAnsi="Times New Roman"/>
          <w:bCs/>
          <w:sz w:val="24"/>
          <w:szCs w:val="24"/>
          <w:lang w:val="en-US"/>
        </w:rPr>
      </w:pPr>
    </w:p>
    <w:p w:rsidR="000C7917" w:rsidRDefault="00A820F1" w:rsidP="00141BED">
      <w:pPr>
        <w:autoSpaceDE w:val="0"/>
        <w:autoSpaceDN w:val="0"/>
        <w:adjustRightInd w:val="0"/>
        <w:spacing w:after="0" w:line="360" w:lineRule="auto"/>
        <w:ind w:firstLine="567"/>
        <w:jc w:val="both"/>
        <w:rPr>
          <w:rFonts w:ascii="Times New Roman" w:hAnsi="Times New Roman"/>
          <w:bCs/>
          <w:sz w:val="24"/>
          <w:szCs w:val="24"/>
        </w:rPr>
      </w:pPr>
      <w:r w:rsidRPr="00141BED">
        <w:rPr>
          <w:rFonts w:ascii="Times New Roman" w:hAnsi="Times New Roman"/>
          <w:bCs/>
          <w:sz w:val="24"/>
          <w:szCs w:val="24"/>
          <w:lang w:val="en-US"/>
        </w:rPr>
        <w:t xml:space="preserve">1. </w:t>
      </w:r>
      <w:r w:rsidR="000C7917" w:rsidRPr="00141BED">
        <w:rPr>
          <w:rFonts w:ascii="Times New Roman" w:hAnsi="Times New Roman"/>
          <w:bCs/>
          <w:sz w:val="24"/>
          <w:szCs w:val="24"/>
          <w:lang w:val="en-US"/>
        </w:rPr>
        <w:t>D</w:t>
      </w:r>
      <w:r w:rsidR="00F42AFF">
        <w:rPr>
          <w:rFonts w:ascii="Times New Roman" w:hAnsi="Times New Roman"/>
          <w:bCs/>
          <w:sz w:val="24"/>
          <w:szCs w:val="24"/>
        </w:rPr>
        <w:t>а</w:t>
      </w:r>
      <w:r w:rsidR="000C7917" w:rsidRPr="00141BED">
        <w:rPr>
          <w:rFonts w:ascii="Times New Roman" w:hAnsi="Times New Roman"/>
          <w:bCs/>
          <w:sz w:val="24"/>
          <w:szCs w:val="24"/>
          <w:lang w:val="en-US"/>
        </w:rPr>
        <w:t xml:space="preserve">ncheva A.V., Zalesova E. S., Nesterova E. N., Shubin D. A. Influence of tending felling on the value of the complex estimated indicator of pine plantations // Mater. </w:t>
      </w:r>
      <w:proofErr w:type="gramStart"/>
      <w:r w:rsidR="000C7917" w:rsidRPr="00141BED">
        <w:rPr>
          <w:rFonts w:ascii="Times New Roman" w:hAnsi="Times New Roman"/>
          <w:bCs/>
          <w:sz w:val="24"/>
          <w:szCs w:val="24"/>
          <w:lang w:val="en-US"/>
        </w:rPr>
        <w:t>XIV international.</w:t>
      </w:r>
      <w:proofErr w:type="gramEnd"/>
      <w:r w:rsidR="000C7917" w:rsidRPr="00141BED">
        <w:rPr>
          <w:rFonts w:ascii="Times New Roman" w:hAnsi="Times New Roman"/>
          <w:bCs/>
          <w:sz w:val="24"/>
          <w:szCs w:val="24"/>
          <w:lang w:val="en-US"/>
        </w:rPr>
        <w:t xml:space="preserve"> </w:t>
      </w:r>
      <w:proofErr w:type="gramStart"/>
      <w:r w:rsidR="000C7917" w:rsidRPr="00141BED">
        <w:rPr>
          <w:rFonts w:ascii="Times New Roman" w:hAnsi="Times New Roman"/>
          <w:bCs/>
          <w:sz w:val="24"/>
          <w:szCs w:val="24"/>
          <w:lang w:val="en-US"/>
        </w:rPr>
        <w:t>scientific</w:t>
      </w:r>
      <w:proofErr w:type="gramEnd"/>
      <w:r w:rsidR="000C7917" w:rsidRPr="00141BED">
        <w:rPr>
          <w:rFonts w:ascii="Times New Roman" w:hAnsi="Times New Roman"/>
          <w:bCs/>
          <w:sz w:val="24"/>
          <w:szCs w:val="24"/>
          <w:lang w:val="en-US"/>
        </w:rPr>
        <w:t xml:space="preserve"> and technical Conf. "Scientific creativity of youth – to the forest complex of Russia" – Yekaterinburg, - 2018. - P. 185-189.</w:t>
      </w:r>
    </w:p>
    <w:p w:rsidR="009E2CEA" w:rsidRPr="009E2CEA" w:rsidRDefault="009E2CEA" w:rsidP="00141BED">
      <w:pPr>
        <w:autoSpaceDE w:val="0"/>
        <w:autoSpaceDN w:val="0"/>
        <w:adjustRightInd w:val="0"/>
        <w:spacing w:after="0" w:line="360" w:lineRule="auto"/>
        <w:ind w:firstLine="567"/>
        <w:jc w:val="both"/>
        <w:rPr>
          <w:rFonts w:ascii="Times New Roman" w:hAnsi="Times New Roman"/>
          <w:bCs/>
          <w:sz w:val="24"/>
          <w:szCs w:val="24"/>
          <w:lang w:val="en-US"/>
        </w:rPr>
      </w:pPr>
      <w:proofErr w:type="gramStart"/>
      <w:r w:rsidRPr="009E2CEA">
        <w:rPr>
          <w:rFonts w:ascii="Times New Roman" w:hAnsi="Times New Roman"/>
          <w:bCs/>
          <w:sz w:val="24"/>
          <w:szCs w:val="24"/>
          <w:lang w:val="en-US"/>
        </w:rPr>
        <w:t xml:space="preserve">2019 </w:t>
      </w:r>
      <w:r>
        <w:rPr>
          <w:rFonts w:ascii="Times New Roman" w:hAnsi="Times New Roman"/>
          <w:bCs/>
          <w:sz w:val="24"/>
          <w:szCs w:val="24"/>
        </w:rPr>
        <w:t>у</w:t>
      </w:r>
      <w:r w:rsidRPr="009E2CEA">
        <w:rPr>
          <w:rFonts w:ascii="Times New Roman" w:hAnsi="Times New Roman"/>
          <w:bCs/>
          <w:sz w:val="24"/>
          <w:szCs w:val="24"/>
          <w:lang w:val="en-US"/>
        </w:rPr>
        <w:t>.</w:t>
      </w:r>
      <w:proofErr w:type="gramEnd"/>
    </w:p>
    <w:p w:rsidR="000C7917" w:rsidRPr="00141BED" w:rsidRDefault="009E2CEA" w:rsidP="00141BED">
      <w:pPr>
        <w:autoSpaceDE w:val="0"/>
        <w:autoSpaceDN w:val="0"/>
        <w:adjustRightInd w:val="0"/>
        <w:spacing w:after="0" w:line="360" w:lineRule="auto"/>
        <w:ind w:firstLine="567"/>
        <w:jc w:val="both"/>
        <w:rPr>
          <w:rFonts w:ascii="Times New Roman" w:hAnsi="Times New Roman"/>
          <w:bCs/>
          <w:sz w:val="24"/>
          <w:szCs w:val="24"/>
          <w:lang w:val="en-US"/>
        </w:rPr>
      </w:pPr>
      <w:r w:rsidRPr="009E2CEA">
        <w:rPr>
          <w:rFonts w:ascii="Times New Roman" w:hAnsi="Times New Roman"/>
          <w:bCs/>
          <w:sz w:val="24"/>
          <w:szCs w:val="24"/>
          <w:lang w:val="en-US"/>
        </w:rPr>
        <w:t>1</w:t>
      </w:r>
      <w:r w:rsidR="000C7917" w:rsidRPr="00141BED">
        <w:rPr>
          <w:rFonts w:ascii="Times New Roman" w:hAnsi="Times New Roman"/>
          <w:bCs/>
          <w:sz w:val="24"/>
          <w:szCs w:val="24"/>
          <w:lang w:val="en-US"/>
        </w:rPr>
        <w:t>. D</w:t>
      </w:r>
      <w:r w:rsidR="00F42AFF">
        <w:rPr>
          <w:rFonts w:ascii="Times New Roman" w:hAnsi="Times New Roman"/>
          <w:bCs/>
          <w:sz w:val="24"/>
          <w:szCs w:val="24"/>
        </w:rPr>
        <w:t>а</w:t>
      </w:r>
      <w:r w:rsidR="000C7917" w:rsidRPr="00141BED">
        <w:rPr>
          <w:rFonts w:ascii="Times New Roman" w:hAnsi="Times New Roman"/>
          <w:bCs/>
          <w:sz w:val="24"/>
          <w:szCs w:val="24"/>
          <w:lang w:val="en-US"/>
        </w:rPr>
        <w:t xml:space="preserve">ncheva A.V., Zalesov S. V. influence of fires on the radial increment of pine trees growing in dry conditions of the Kazakh </w:t>
      </w:r>
      <w:r w:rsidR="00040463" w:rsidRPr="00141BED">
        <w:rPr>
          <w:rFonts w:ascii="Times New Roman" w:hAnsi="Times New Roman"/>
          <w:bCs/>
          <w:sz w:val="24"/>
          <w:szCs w:val="24"/>
          <w:lang w:val="en-US"/>
        </w:rPr>
        <w:t>hillocky area</w:t>
      </w:r>
      <w:r w:rsidR="000C7917" w:rsidRPr="00141BED">
        <w:rPr>
          <w:rFonts w:ascii="Times New Roman" w:hAnsi="Times New Roman"/>
          <w:bCs/>
          <w:sz w:val="24"/>
          <w:szCs w:val="24"/>
          <w:lang w:val="en-US"/>
        </w:rPr>
        <w:t xml:space="preserve">//Bulletin of the Buryat state agricultural Academy named after V. R. Filippov. – 2019. </w:t>
      </w:r>
      <w:proofErr w:type="gramStart"/>
      <w:r w:rsidR="000C7917" w:rsidRPr="00141BED">
        <w:rPr>
          <w:rFonts w:ascii="Times New Roman" w:hAnsi="Times New Roman"/>
          <w:bCs/>
          <w:sz w:val="24"/>
          <w:szCs w:val="24"/>
          <w:lang w:val="en-US"/>
        </w:rPr>
        <w:t>- № 1 (54).</w:t>
      </w:r>
      <w:proofErr w:type="gramEnd"/>
      <w:r w:rsidR="000C7917" w:rsidRPr="00141BED">
        <w:rPr>
          <w:rFonts w:ascii="Times New Roman" w:hAnsi="Times New Roman"/>
          <w:bCs/>
          <w:sz w:val="24"/>
          <w:szCs w:val="24"/>
          <w:lang w:val="en-US"/>
        </w:rPr>
        <w:t xml:space="preserve"> - P. 82-91. The Russian Science Citation Index </w:t>
      </w:r>
      <w:r w:rsidR="00040463" w:rsidRPr="00141BED">
        <w:rPr>
          <w:rFonts w:ascii="Times New Roman" w:hAnsi="Times New Roman"/>
          <w:bCs/>
          <w:sz w:val="24"/>
          <w:szCs w:val="24"/>
          <w:lang w:val="en-US"/>
        </w:rPr>
        <w:t xml:space="preserve">(RSCI) </w:t>
      </w:r>
      <w:r w:rsidR="000C7917" w:rsidRPr="00141BED">
        <w:rPr>
          <w:rFonts w:ascii="Times New Roman" w:hAnsi="Times New Roman"/>
          <w:bCs/>
          <w:sz w:val="24"/>
          <w:szCs w:val="24"/>
          <w:lang w:val="en-US"/>
        </w:rPr>
        <w:t>impact factor is 0.125.</w:t>
      </w:r>
    </w:p>
    <w:p w:rsidR="00040463" w:rsidRPr="00141BED" w:rsidRDefault="009E2CEA" w:rsidP="00141BED">
      <w:pPr>
        <w:autoSpaceDE w:val="0"/>
        <w:autoSpaceDN w:val="0"/>
        <w:adjustRightInd w:val="0"/>
        <w:spacing w:after="0" w:line="360" w:lineRule="auto"/>
        <w:ind w:firstLine="567"/>
        <w:jc w:val="both"/>
        <w:rPr>
          <w:rFonts w:ascii="Times New Roman" w:hAnsi="Times New Roman"/>
          <w:sz w:val="24"/>
          <w:szCs w:val="24"/>
          <w:lang w:val="en-US"/>
        </w:rPr>
      </w:pPr>
      <w:r>
        <w:rPr>
          <w:rFonts w:ascii="Times New Roman" w:hAnsi="Times New Roman"/>
          <w:bCs/>
          <w:sz w:val="24"/>
          <w:szCs w:val="24"/>
          <w:lang w:eastAsia="ru-RU"/>
        </w:rPr>
        <w:t>2</w:t>
      </w:r>
      <w:r w:rsidR="00A820F1" w:rsidRPr="00141BED">
        <w:rPr>
          <w:rFonts w:ascii="Times New Roman" w:hAnsi="Times New Roman"/>
          <w:bCs/>
          <w:sz w:val="24"/>
          <w:szCs w:val="24"/>
          <w:lang w:val="en-US" w:eastAsia="ru-RU"/>
        </w:rPr>
        <w:t xml:space="preserve">.  </w:t>
      </w:r>
      <w:r w:rsidR="00040463" w:rsidRPr="00141BED">
        <w:rPr>
          <w:rFonts w:ascii="Times New Roman" w:hAnsi="Times New Roman"/>
          <w:sz w:val="24"/>
          <w:szCs w:val="24"/>
          <w:lang w:val="en-US"/>
        </w:rPr>
        <w:t>D</w:t>
      </w:r>
      <w:r w:rsidR="00F42AFF">
        <w:rPr>
          <w:rFonts w:ascii="Times New Roman" w:hAnsi="Times New Roman"/>
          <w:sz w:val="24"/>
          <w:szCs w:val="24"/>
        </w:rPr>
        <w:t>а</w:t>
      </w:r>
      <w:r w:rsidR="00040463" w:rsidRPr="00141BED">
        <w:rPr>
          <w:rFonts w:ascii="Times New Roman" w:hAnsi="Times New Roman"/>
          <w:sz w:val="24"/>
          <w:szCs w:val="24"/>
          <w:lang w:val="en-US"/>
        </w:rPr>
        <w:t xml:space="preserve">ncheva A.V., Zalesov S. V. influence of tending felling on the taxation parameters of tree Crowns in artificial birch stands of arid growing conditions // Advances in modern natural science. – 2019. </w:t>
      </w:r>
      <w:proofErr w:type="gramStart"/>
      <w:r w:rsidR="00040463" w:rsidRPr="00141BED">
        <w:rPr>
          <w:rFonts w:ascii="Times New Roman" w:hAnsi="Times New Roman"/>
          <w:sz w:val="24"/>
          <w:szCs w:val="24"/>
          <w:lang w:val="en-US"/>
        </w:rPr>
        <w:t>- No. 8.</w:t>
      </w:r>
      <w:proofErr w:type="gramEnd"/>
      <w:r w:rsidR="00040463" w:rsidRPr="00141BED">
        <w:rPr>
          <w:rFonts w:ascii="Times New Roman" w:hAnsi="Times New Roman"/>
          <w:sz w:val="24"/>
          <w:szCs w:val="24"/>
          <w:lang w:val="en-US"/>
        </w:rPr>
        <w:t xml:space="preserve"> – P. 22-27. The RSCI impact factor is 0.292.</w:t>
      </w:r>
    </w:p>
    <w:p w:rsidR="00040463" w:rsidRPr="00141BED" w:rsidRDefault="009E2CEA" w:rsidP="00141BED">
      <w:pPr>
        <w:autoSpaceDE w:val="0"/>
        <w:autoSpaceDN w:val="0"/>
        <w:adjustRightInd w:val="0"/>
        <w:spacing w:after="0" w:line="360" w:lineRule="auto"/>
        <w:ind w:firstLine="567"/>
        <w:jc w:val="both"/>
        <w:rPr>
          <w:rFonts w:ascii="Times New Roman" w:hAnsi="Times New Roman"/>
          <w:sz w:val="24"/>
          <w:szCs w:val="24"/>
          <w:lang w:val="en-US"/>
        </w:rPr>
      </w:pPr>
      <w:r w:rsidRPr="009E2CEA">
        <w:rPr>
          <w:rFonts w:ascii="Times New Roman" w:hAnsi="Times New Roman"/>
          <w:sz w:val="24"/>
          <w:szCs w:val="24"/>
          <w:lang w:val="en-US"/>
        </w:rPr>
        <w:t>3</w:t>
      </w:r>
      <w:r w:rsidR="00040463" w:rsidRPr="00141BED">
        <w:rPr>
          <w:rFonts w:ascii="Times New Roman" w:hAnsi="Times New Roman"/>
          <w:sz w:val="24"/>
          <w:szCs w:val="24"/>
          <w:lang w:val="en-US"/>
        </w:rPr>
        <w:t xml:space="preserve">. Kabanova S. A., Danchenko M. A., Kabanov A. N., Shakhmatov P. F. Experience of using an absorbent when planting forest crops in the green zone of Astana // Vestnik Irgsha. – 2019. </w:t>
      </w:r>
      <w:proofErr w:type="gramStart"/>
      <w:r w:rsidR="00040463" w:rsidRPr="00141BED">
        <w:rPr>
          <w:rFonts w:ascii="Times New Roman" w:hAnsi="Times New Roman"/>
          <w:sz w:val="24"/>
          <w:szCs w:val="24"/>
          <w:lang w:val="en-US"/>
        </w:rPr>
        <w:t>- No. 92.</w:t>
      </w:r>
      <w:proofErr w:type="gramEnd"/>
      <w:r w:rsidR="00040463" w:rsidRPr="00141BED">
        <w:rPr>
          <w:rFonts w:ascii="Times New Roman" w:hAnsi="Times New Roman"/>
          <w:sz w:val="24"/>
          <w:szCs w:val="24"/>
          <w:lang w:val="en-US"/>
        </w:rPr>
        <w:t xml:space="preserve"> - P. 41-48. (RSCI impact factor 0.117).</w:t>
      </w:r>
    </w:p>
    <w:p w:rsidR="009E2CEA" w:rsidRDefault="009E2CEA" w:rsidP="00141BED">
      <w:pPr>
        <w:autoSpaceDE w:val="0"/>
        <w:autoSpaceDN w:val="0"/>
        <w:adjustRightInd w:val="0"/>
        <w:spacing w:after="0" w:line="360" w:lineRule="auto"/>
        <w:ind w:firstLine="567"/>
        <w:jc w:val="both"/>
        <w:rPr>
          <w:rFonts w:ascii="Times New Roman" w:hAnsi="Times New Roman"/>
          <w:bCs/>
          <w:sz w:val="24"/>
          <w:szCs w:val="24"/>
          <w:lang w:eastAsia="ru-RU"/>
        </w:rPr>
      </w:pPr>
    </w:p>
    <w:p w:rsidR="009E2CEA" w:rsidRPr="009E2CEA" w:rsidRDefault="009E2CEA" w:rsidP="00141BED">
      <w:pPr>
        <w:autoSpaceDE w:val="0"/>
        <w:autoSpaceDN w:val="0"/>
        <w:adjustRightInd w:val="0"/>
        <w:spacing w:after="0" w:line="360" w:lineRule="auto"/>
        <w:ind w:firstLine="567"/>
        <w:jc w:val="both"/>
        <w:rPr>
          <w:rFonts w:ascii="Times New Roman" w:hAnsi="Times New Roman"/>
          <w:bCs/>
          <w:sz w:val="24"/>
          <w:szCs w:val="24"/>
          <w:lang w:val="en-US" w:eastAsia="ru-RU"/>
        </w:rPr>
      </w:pPr>
      <w:proofErr w:type="gramStart"/>
      <w:r w:rsidRPr="009E2CEA">
        <w:rPr>
          <w:rFonts w:ascii="Times New Roman" w:hAnsi="Times New Roman"/>
          <w:bCs/>
          <w:sz w:val="24"/>
          <w:szCs w:val="24"/>
          <w:lang w:val="en-US" w:eastAsia="ru-RU"/>
        </w:rPr>
        <w:t xml:space="preserve">2020 </w:t>
      </w:r>
      <w:r>
        <w:rPr>
          <w:rFonts w:ascii="Times New Roman" w:hAnsi="Times New Roman"/>
          <w:bCs/>
          <w:sz w:val="24"/>
          <w:szCs w:val="24"/>
          <w:lang w:eastAsia="ru-RU"/>
        </w:rPr>
        <w:t>у</w:t>
      </w:r>
      <w:r w:rsidRPr="009E2CEA">
        <w:rPr>
          <w:rFonts w:ascii="Times New Roman" w:hAnsi="Times New Roman"/>
          <w:bCs/>
          <w:sz w:val="24"/>
          <w:szCs w:val="24"/>
          <w:lang w:val="en-US" w:eastAsia="ru-RU"/>
        </w:rPr>
        <w:t>.</w:t>
      </w:r>
      <w:proofErr w:type="gramEnd"/>
    </w:p>
    <w:p w:rsidR="00C6516B" w:rsidRPr="00141BED" w:rsidRDefault="009E2CEA" w:rsidP="00141BED">
      <w:pPr>
        <w:autoSpaceDE w:val="0"/>
        <w:autoSpaceDN w:val="0"/>
        <w:adjustRightInd w:val="0"/>
        <w:spacing w:after="0" w:line="360" w:lineRule="auto"/>
        <w:ind w:firstLine="567"/>
        <w:jc w:val="both"/>
        <w:rPr>
          <w:rFonts w:ascii="Times New Roman" w:hAnsi="Times New Roman"/>
          <w:bCs/>
          <w:sz w:val="24"/>
          <w:szCs w:val="24"/>
          <w:lang w:val="en-US" w:eastAsia="ru-RU"/>
        </w:rPr>
      </w:pPr>
      <w:r w:rsidRPr="009E2CEA">
        <w:rPr>
          <w:rFonts w:ascii="Times New Roman" w:hAnsi="Times New Roman"/>
          <w:bCs/>
          <w:sz w:val="24"/>
          <w:szCs w:val="24"/>
          <w:lang w:val="en-US" w:eastAsia="ru-RU"/>
        </w:rPr>
        <w:t>1</w:t>
      </w:r>
      <w:r w:rsidR="00C6516B" w:rsidRPr="00141BED">
        <w:rPr>
          <w:rFonts w:ascii="Times New Roman" w:hAnsi="Times New Roman"/>
          <w:bCs/>
          <w:sz w:val="24"/>
          <w:szCs w:val="24"/>
          <w:lang w:val="en-US" w:eastAsia="ru-RU"/>
        </w:rPr>
        <w:t>. D</w:t>
      </w:r>
      <w:r w:rsidR="00F42AFF">
        <w:rPr>
          <w:rFonts w:ascii="Times New Roman" w:hAnsi="Times New Roman"/>
          <w:bCs/>
          <w:sz w:val="24"/>
          <w:szCs w:val="24"/>
          <w:lang w:eastAsia="ru-RU"/>
        </w:rPr>
        <w:t>а</w:t>
      </w:r>
      <w:r w:rsidR="00C6516B" w:rsidRPr="00141BED">
        <w:rPr>
          <w:rFonts w:ascii="Times New Roman" w:hAnsi="Times New Roman"/>
          <w:bCs/>
          <w:sz w:val="24"/>
          <w:szCs w:val="24"/>
          <w:lang w:val="en-US" w:eastAsia="ru-RU"/>
        </w:rPr>
        <w:t>ncheva A.V., Merkel K. A. Influence of climatic factors on the radial increment of pine in the ribbon forests of the Irtysh region // Vestnik of Irkutsk State Agrarian University, 2020. – Issue 96. – P. 96-104. (RSCI impact factor 2018-0,144)</w:t>
      </w:r>
    </w:p>
    <w:p w:rsidR="006F0B55" w:rsidRPr="00141BED" w:rsidRDefault="009E2CEA" w:rsidP="00141BED">
      <w:pPr>
        <w:autoSpaceDE w:val="0"/>
        <w:autoSpaceDN w:val="0"/>
        <w:adjustRightInd w:val="0"/>
        <w:spacing w:after="0" w:line="360" w:lineRule="auto"/>
        <w:ind w:firstLine="567"/>
        <w:jc w:val="both"/>
        <w:rPr>
          <w:rFonts w:ascii="Times New Roman" w:eastAsia="TimesNewRomanPSMT" w:hAnsi="Times New Roman"/>
          <w:sz w:val="24"/>
          <w:szCs w:val="24"/>
          <w:lang w:val="en-US"/>
        </w:rPr>
      </w:pPr>
      <w:r w:rsidRPr="009E2CEA">
        <w:rPr>
          <w:rFonts w:ascii="Times New Roman" w:eastAsia="TimesNewRomanPSMT" w:hAnsi="Times New Roman"/>
          <w:sz w:val="24"/>
          <w:szCs w:val="24"/>
          <w:lang w:val="en-US"/>
        </w:rPr>
        <w:t>2</w:t>
      </w:r>
      <w:r w:rsidR="00A820F1" w:rsidRPr="00141BED">
        <w:rPr>
          <w:rFonts w:ascii="Times New Roman" w:eastAsia="TimesNewRomanPSMT" w:hAnsi="Times New Roman"/>
          <w:sz w:val="24"/>
          <w:szCs w:val="24"/>
          <w:lang w:val="en-US"/>
        </w:rPr>
        <w:t xml:space="preserve">. </w:t>
      </w:r>
      <w:r w:rsidR="006F0B55" w:rsidRPr="00141BED">
        <w:rPr>
          <w:rFonts w:ascii="Times New Roman" w:eastAsia="TimesNewRomanPSMT" w:hAnsi="Times New Roman"/>
          <w:sz w:val="24"/>
          <w:szCs w:val="24"/>
          <w:lang w:val="en-US"/>
        </w:rPr>
        <w:t>D</w:t>
      </w:r>
      <w:r w:rsidR="00F42AFF">
        <w:rPr>
          <w:rFonts w:ascii="Times New Roman" w:eastAsia="TimesNewRomanPSMT" w:hAnsi="Times New Roman"/>
          <w:sz w:val="24"/>
          <w:szCs w:val="24"/>
        </w:rPr>
        <w:t>а</w:t>
      </w:r>
      <w:r w:rsidR="006F0B55" w:rsidRPr="00141BED">
        <w:rPr>
          <w:rFonts w:ascii="Times New Roman" w:eastAsia="TimesNewRomanPSMT" w:hAnsi="Times New Roman"/>
          <w:sz w:val="24"/>
          <w:szCs w:val="24"/>
          <w:lang w:val="en-US"/>
        </w:rPr>
        <w:t xml:space="preserve">ncheva A.V., Zalesov S. V., Mukanov B. M. influence of climatic factors on the radial increment of trees in the pine forests of the Kazakh hillocky area // international research journal, 2020. </w:t>
      </w:r>
      <w:proofErr w:type="gramStart"/>
      <w:r w:rsidR="006F0B55" w:rsidRPr="00141BED">
        <w:rPr>
          <w:rFonts w:ascii="Times New Roman" w:eastAsia="TimesNewRomanPSMT" w:hAnsi="Times New Roman"/>
          <w:sz w:val="24"/>
          <w:szCs w:val="24"/>
          <w:lang w:val="en-US"/>
        </w:rPr>
        <w:t>- № 3 (93).</w:t>
      </w:r>
      <w:proofErr w:type="gramEnd"/>
      <w:r w:rsidR="006F0B55" w:rsidRPr="00141BED">
        <w:rPr>
          <w:rFonts w:ascii="Times New Roman" w:eastAsia="TimesNewRomanPSMT" w:hAnsi="Times New Roman"/>
          <w:sz w:val="24"/>
          <w:szCs w:val="24"/>
          <w:lang w:val="en-US"/>
        </w:rPr>
        <w:t xml:space="preserve"> – P. 68-76. </w:t>
      </w:r>
      <w:proofErr w:type="gramStart"/>
      <w:r w:rsidR="006F0B55" w:rsidRPr="00141BED">
        <w:rPr>
          <w:rFonts w:ascii="Times New Roman" w:eastAsia="TimesNewRomanPSMT" w:hAnsi="Times New Roman"/>
          <w:sz w:val="24"/>
          <w:szCs w:val="24"/>
          <w:lang w:val="en-US"/>
        </w:rPr>
        <w:t>(Recommended by the higher attestation Commission of the Russian Federation).</w:t>
      </w:r>
      <w:proofErr w:type="gramEnd"/>
    </w:p>
    <w:p w:rsidR="00873528" w:rsidRPr="00141BED" w:rsidRDefault="009E2CEA" w:rsidP="00141BED">
      <w:pPr>
        <w:autoSpaceDE w:val="0"/>
        <w:autoSpaceDN w:val="0"/>
        <w:adjustRightInd w:val="0"/>
        <w:spacing w:after="0" w:line="360" w:lineRule="auto"/>
        <w:ind w:firstLine="567"/>
        <w:jc w:val="both"/>
        <w:rPr>
          <w:rFonts w:ascii="Times New Roman" w:eastAsia="TimesNewRomanPSMT" w:hAnsi="Times New Roman"/>
          <w:sz w:val="24"/>
          <w:szCs w:val="24"/>
          <w:lang w:val="en-US"/>
        </w:rPr>
      </w:pPr>
      <w:r w:rsidRPr="009E2CEA">
        <w:rPr>
          <w:rFonts w:ascii="Times New Roman" w:eastAsia="TimesNewRomanPSMT" w:hAnsi="Times New Roman"/>
          <w:sz w:val="24"/>
          <w:szCs w:val="24"/>
          <w:lang w:val="en-US"/>
        </w:rPr>
        <w:t>3</w:t>
      </w:r>
      <w:r w:rsidR="006F0B55" w:rsidRPr="00141BED">
        <w:rPr>
          <w:rFonts w:ascii="Times New Roman" w:eastAsia="TimesNewRomanPSMT" w:hAnsi="Times New Roman"/>
          <w:sz w:val="24"/>
          <w:szCs w:val="24"/>
          <w:lang w:val="en-US"/>
        </w:rPr>
        <w:t xml:space="preserve">. Kabanova S. A., Kabanov A. N. Increment of Scots pine depending on the intensity of solar radiation // Izdenister, natizheler – Research, results, 2020. </w:t>
      </w:r>
      <w:proofErr w:type="gramStart"/>
      <w:r w:rsidR="006F0B55" w:rsidRPr="00141BED">
        <w:rPr>
          <w:rFonts w:ascii="Times New Roman" w:eastAsia="TimesNewRomanPSMT" w:hAnsi="Times New Roman"/>
          <w:sz w:val="24"/>
          <w:szCs w:val="24"/>
          <w:lang w:val="en-US"/>
        </w:rPr>
        <w:t>- № 1(85).</w:t>
      </w:r>
      <w:proofErr w:type="gramEnd"/>
      <w:r w:rsidR="006F0B55" w:rsidRPr="00141BED">
        <w:rPr>
          <w:rFonts w:ascii="Times New Roman" w:eastAsia="TimesNewRomanPSMT" w:hAnsi="Times New Roman"/>
          <w:sz w:val="24"/>
          <w:szCs w:val="24"/>
          <w:lang w:val="en-US"/>
        </w:rPr>
        <w:t xml:space="preserve"> – P. 204-209. (</w:t>
      </w:r>
      <w:proofErr w:type="gramStart"/>
      <w:r w:rsidR="006F0B55" w:rsidRPr="00141BED">
        <w:rPr>
          <w:rFonts w:ascii="Times New Roman" w:eastAsia="TimesNewRomanPSMT" w:hAnsi="Times New Roman"/>
          <w:sz w:val="24"/>
          <w:szCs w:val="24"/>
          <w:lang w:val="en-US"/>
        </w:rPr>
        <w:t>recommended</w:t>
      </w:r>
      <w:proofErr w:type="gramEnd"/>
      <w:r w:rsidR="006F0B55" w:rsidRPr="00141BED">
        <w:rPr>
          <w:rFonts w:ascii="Times New Roman" w:eastAsia="TimesNewRomanPSMT" w:hAnsi="Times New Roman"/>
          <w:sz w:val="24"/>
          <w:szCs w:val="24"/>
          <w:lang w:val="en-US"/>
        </w:rPr>
        <w:t xml:space="preserve"> by ССFES of the MES of the RK) </w:t>
      </w:r>
    </w:p>
    <w:p w:rsidR="00A820F1" w:rsidRPr="00AB5692" w:rsidRDefault="009E2CEA" w:rsidP="00141BED">
      <w:pPr>
        <w:autoSpaceDE w:val="0"/>
        <w:autoSpaceDN w:val="0"/>
        <w:adjustRightInd w:val="0"/>
        <w:spacing w:after="0" w:line="360" w:lineRule="auto"/>
        <w:ind w:firstLine="567"/>
        <w:jc w:val="both"/>
        <w:rPr>
          <w:rFonts w:ascii="Times New Roman" w:eastAsia="TimesNewRomanPSMT" w:hAnsi="Times New Roman"/>
          <w:sz w:val="24"/>
          <w:szCs w:val="24"/>
          <w:lang w:val="en-US"/>
        </w:rPr>
      </w:pPr>
      <w:r w:rsidRPr="009E2CEA">
        <w:rPr>
          <w:rFonts w:ascii="Times New Roman" w:eastAsia="TimesNewRomanPSMT" w:hAnsi="Times New Roman"/>
          <w:sz w:val="24"/>
          <w:szCs w:val="24"/>
          <w:lang w:val="en-US"/>
        </w:rPr>
        <w:lastRenderedPageBreak/>
        <w:t>4</w:t>
      </w:r>
      <w:r w:rsidR="00873528" w:rsidRPr="00141BED">
        <w:rPr>
          <w:rFonts w:ascii="Times New Roman" w:eastAsia="TimesNewRomanPSMT" w:hAnsi="Times New Roman"/>
          <w:sz w:val="24"/>
          <w:szCs w:val="24"/>
          <w:lang w:val="en-US"/>
        </w:rPr>
        <w:t xml:space="preserve">. Kabanova S. A., Merkel K. A. index assessment of the influence of solar activity on the increment of Scots pine in "Semey ormany" SFNR// Izdenister, natizheler – Research, results, 2020. </w:t>
      </w:r>
      <w:proofErr w:type="gramStart"/>
      <w:r w:rsidR="00873528" w:rsidRPr="00141BED">
        <w:rPr>
          <w:rFonts w:ascii="Times New Roman" w:eastAsia="TimesNewRomanPSMT" w:hAnsi="Times New Roman"/>
          <w:sz w:val="24"/>
          <w:szCs w:val="24"/>
          <w:lang w:val="en-US"/>
        </w:rPr>
        <w:t>- № 3(87).</w:t>
      </w:r>
      <w:proofErr w:type="gramEnd"/>
      <w:r w:rsidR="00873528" w:rsidRPr="00141BED">
        <w:rPr>
          <w:rFonts w:ascii="Times New Roman" w:eastAsia="TimesNewRomanPSMT" w:hAnsi="Times New Roman"/>
          <w:sz w:val="24"/>
          <w:szCs w:val="24"/>
          <w:lang w:val="en-US"/>
        </w:rPr>
        <w:t xml:space="preserve"> – P.</w:t>
      </w:r>
      <w:r w:rsidR="00791176" w:rsidRPr="00141BED">
        <w:rPr>
          <w:rFonts w:ascii="Times New Roman" w:eastAsia="TimesNewRomanPSMT" w:hAnsi="Times New Roman"/>
          <w:sz w:val="24"/>
          <w:szCs w:val="24"/>
          <w:lang w:val="en-US"/>
        </w:rPr>
        <w:t xml:space="preserve"> 190-195</w:t>
      </w:r>
      <w:r w:rsidR="00873528" w:rsidRPr="00141BED">
        <w:rPr>
          <w:rFonts w:ascii="Times New Roman" w:eastAsia="TimesNewRomanPSMT" w:hAnsi="Times New Roman"/>
          <w:sz w:val="24"/>
          <w:szCs w:val="24"/>
          <w:lang w:val="en-US"/>
        </w:rPr>
        <w:t xml:space="preserve">. </w:t>
      </w:r>
      <w:r w:rsidR="00A820F1" w:rsidRPr="00141BED">
        <w:rPr>
          <w:rFonts w:ascii="Times New Roman" w:eastAsia="TimesNewRomanPSMT" w:hAnsi="Times New Roman"/>
          <w:sz w:val="24"/>
          <w:szCs w:val="24"/>
          <w:lang w:val="en-US"/>
        </w:rPr>
        <w:t>(</w:t>
      </w:r>
      <w:proofErr w:type="gramStart"/>
      <w:r w:rsidR="00873528" w:rsidRPr="00141BED">
        <w:rPr>
          <w:rFonts w:ascii="Times New Roman" w:eastAsia="TimesNewRomanPSMT" w:hAnsi="Times New Roman"/>
          <w:sz w:val="24"/>
          <w:szCs w:val="24"/>
          <w:lang w:val="en-US"/>
        </w:rPr>
        <w:t>recommended</w:t>
      </w:r>
      <w:proofErr w:type="gramEnd"/>
      <w:r w:rsidR="00873528" w:rsidRPr="00141BED">
        <w:rPr>
          <w:rFonts w:ascii="Times New Roman" w:eastAsia="TimesNewRomanPSMT" w:hAnsi="Times New Roman"/>
          <w:sz w:val="24"/>
          <w:szCs w:val="24"/>
          <w:lang w:val="en-US"/>
        </w:rPr>
        <w:t xml:space="preserve"> by ССFES</w:t>
      </w:r>
      <w:r w:rsidR="00A820F1" w:rsidRPr="00141BED">
        <w:rPr>
          <w:rFonts w:ascii="Times New Roman" w:eastAsia="TimesNewRomanPSMT" w:hAnsi="Times New Roman"/>
          <w:sz w:val="24"/>
          <w:szCs w:val="24"/>
          <w:lang w:val="en-US"/>
        </w:rPr>
        <w:t>).</w:t>
      </w:r>
    </w:p>
    <w:p w:rsidR="00523F43" w:rsidRPr="00141BED" w:rsidRDefault="009E2CEA" w:rsidP="00141BED">
      <w:pPr>
        <w:autoSpaceDE w:val="0"/>
        <w:autoSpaceDN w:val="0"/>
        <w:adjustRightInd w:val="0"/>
        <w:spacing w:after="0" w:line="360" w:lineRule="auto"/>
        <w:ind w:firstLine="567"/>
        <w:jc w:val="both"/>
        <w:rPr>
          <w:rFonts w:ascii="Times New Roman" w:eastAsia="TimesNewRomanPSMT" w:hAnsi="Times New Roman"/>
          <w:sz w:val="24"/>
          <w:szCs w:val="24"/>
          <w:lang w:val="en-US"/>
        </w:rPr>
      </w:pPr>
      <w:r w:rsidRPr="00B26420">
        <w:rPr>
          <w:rFonts w:ascii="Times New Roman" w:eastAsia="TimesNewRomanPSMT" w:hAnsi="Times New Roman"/>
          <w:sz w:val="24"/>
          <w:szCs w:val="24"/>
          <w:lang w:val="en-US"/>
        </w:rPr>
        <w:t>5</w:t>
      </w:r>
      <w:r w:rsidR="00AB4F7B" w:rsidRPr="00AB4F7B">
        <w:rPr>
          <w:rFonts w:ascii="Times New Roman" w:eastAsia="TimesNewRomanPSMT" w:hAnsi="Times New Roman"/>
          <w:sz w:val="24"/>
          <w:szCs w:val="24"/>
          <w:lang w:val="en-US"/>
        </w:rPr>
        <w:t>. Dancheva A.V., Gurskaya M.A., Zalesov S.V., Mukanov B.M. "Assessment of the effectiveness of logging and care in pine trees of Kazakhstan shallow seedlings based on forestry and wood-ring analysis "//Forestry (Skopus base). Accepted for publication and will be published in No. 6 in 2020 (reference attached).</w:t>
      </w:r>
    </w:p>
    <w:p w:rsidR="003C3DCF" w:rsidRPr="00141BED" w:rsidRDefault="003C3DCF" w:rsidP="00083A20">
      <w:pPr>
        <w:spacing w:after="160" w:line="259" w:lineRule="auto"/>
        <w:rPr>
          <w:rFonts w:ascii="Times New Roman" w:eastAsia="Times New Roman" w:hAnsi="Times New Roman"/>
          <w:sz w:val="24"/>
          <w:szCs w:val="24"/>
          <w:lang w:val="kk-KZ" w:eastAsia="ar-SA"/>
        </w:rPr>
      </w:pPr>
      <w:r w:rsidRPr="00141BED">
        <w:rPr>
          <w:rFonts w:ascii="Times New Roman" w:eastAsia="Times New Roman" w:hAnsi="Times New Roman"/>
          <w:sz w:val="24"/>
          <w:szCs w:val="24"/>
          <w:lang w:val="kk-KZ" w:eastAsia="ar-SA"/>
        </w:rPr>
        <w:br w:type="page"/>
      </w:r>
      <w:r w:rsidR="00165AA4">
        <w:rPr>
          <w:rFonts w:ascii="Times New Roman" w:eastAsia="Times New Roman" w:hAnsi="Times New Roman"/>
          <w:noProof/>
          <w:sz w:val="24"/>
          <w:szCs w:val="24"/>
          <w:lang w:eastAsia="ru-RU"/>
        </w:rPr>
        <w:lastRenderedPageBreak/>
        <w:drawing>
          <wp:inline distT="0" distB="0" distL="0" distR="0" wp14:anchorId="077363EB" wp14:editId="70CCDD33">
            <wp:extent cx="5939790" cy="845896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458965"/>
                    </a:xfrm>
                    <a:prstGeom prst="rect">
                      <a:avLst/>
                    </a:prstGeom>
                    <a:noFill/>
                    <a:ln>
                      <a:noFill/>
                    </a:ln>
                  </pic:spPr>
                </pic:pic>
              </a:graphicData>
            </a:graphic>
          </wp:inline>
        </w:drawing>
      </w:r>
    </w:p>
    <w:p w:rsidR="00AB4F7B" w:rsidRDefault="00AB4F7B">
      <w:pPr>
        <w:spacing w:after="160" w:line="259" w:lineRule="auto"/>
        <w:rPr>
          <w:rFonts w:ascii="Times New Roman" w:eastAsia="TimesNewRomanPSMT" w:hAnsi="Times New Roman"/>
          <w:sz w:val="24"/>
          <w:szCs w:val="24"/>
        </w:rPr>
      </w:pPr>
      <w:r>
        <w:rPr>
          <w:rFonts w:ascii="Times New Roman" w:eastAsia="TimesNewRomanPSMT" w:hAnsi="Times New Roman"/>
          <w:sz w:val="24"/>
          <w:szCs w:val="24"/>
        </w:rPr>
        <w:br w:type="page"/>
      </w:r>
    </w:p>
    <w:p w:rsidR="00E41D57" w:rsidRPr="00B26420" w:rsidRDefault="00E65479" w:rsidP="00141BED">
      <w:pPr>
        <w:spacing w:after="0" w:line="360" w:lineRule="auto"/>
        <w:jc w:val="center"/>
        <w:rPr>
          <w:rFonts w:ascii="Times New Roman" w:eastAsia="TimesNewRomanPSMT" w:hAnsi="Times New Roman"/>
          <w:b/>
          <w:sz w:val="24"/>
          <w:szCs w:val="24"/>
          <w:lang w:val="en-US"/>
        </w:rPr>
      </w:pPr>
      <w:r w:rsidRPr="00B26420">
        <w:rPr>
          <w:rFonts w:ascii="Times New Roman" w:eastAsia="TimesNewRomanPSMT" w:hAnsi="Times New Roman"/>
          <w:b/>
          <w:sz w:val="24"/>
          <w:szCs w:val="24"/>
          <w:lang w:val="en-US"/>
        </w:rPr>
        <w:lastRenderedPageBreak/>
        <w:t>APPENDIX G</w:t>
      </w:r>
    </w:p>
    <w:p w:rsidR="00E41D57" w:rsidRPr="00B26420" w:rsidRDefault="00E41D57" w:rsidP="00141BED">
      <w:pPr>
        <w:spacing w:after="0" w:line="360" w:lineRule="auto"/>
        <w:jc w:val="center"/>
        <w:rPr>
          <w:rFonts w:ascii="Times New Roman" w:eastAsia="TimesNewRomanPSMT" w:hAnsi="Times New Roman"/>
          <w:b/>
          <w:sz w:val="24"/>
          <w:szCs w:val="24"/>
          <w:lang w:val="en-US"/>
        </w:rPr>
      </w:pPr>
    </w:p>
    <w:p w:rsidR="00A820F1" w:rsidRPr="00B26420" w:rsidRDefault="00523F43" w:rsidP="00141BED">
      <w:pPr>
        <w:spacing w:after="0" w:line="360" w:lineRule="auto"/>
        <w:jc w:val="center"/>
        <w:rPr>
          <w:rFonts w:ascii="Times New Roman" w:eastAsia="Times New Roman" w:hAnsi="Times New Roman"/>
          <w:b/>
          <w:sz w:val="24"/>
          <w:szCs w:val="24"/>
          <w:lang w:val="kk-KZ" w:eastAsia="ar-SA"/>
        </w:rPr>
      </w:pPr>
      <w:r w:rsidRPr="00B26420">
        <w:rPr>
          <w:rFonts w:ascii="Times New Roman" w:eastAsia="Times New Roman" w:hAnsi="Times New Roman"/>
          <w:b/>
          <w:sz w:val="24"/>
          <w:szCs w:val="24"/>
          <w:lang w:val="kk-KZ" w:eastAsia="ar-SA"/>
        </w:rPr>
        <w:t>Methodological recommendations for forest management activities aimed at improving the biological stability and protective functions of pine forests in Kazakhstan</w:t>
      </w:r>
    </w:p>
    <w:p w:rsidR="00C21DA4" w:rsidRPr="008510F3" w:rsidRDefault="00C21DA4" w:rsidP="00C21DA4">
      <w:pPr>
        <w:spacing w:after="0" w:line="360" w:lineRule="auto"/>
        <w:ind w:firstLine="567"/>
        <w:jc w:val="center"/>
        <w:rPr>
          <w:rFonts w:ascii="Times New Roman" w:hAnsi="Times New Roman"/>
          <w:sz w:val="24"/>
          <w:szCs w:val="24"/>
        </w:rPr>
      </w:pPr>
      <w:r w:rsidRPr="008510F3">
        <w:rPr>
          <w:rFonts w:ascii="Times New Roman" w:hAnsi="Times New Roman"/>
          <w:sz w:val="24"/>
          <w:szCs w:val="24"/>
        </w:rPr>
        <w:t>ВВЕДЕНИЕ</w:t>
      </w:r>
    </w:p>
    <w:p w:rsidR="00C21DA4" w:rsidRPr="008510F3" w:rsidRDefault="00C21DA4" w:rsidP="00C21DA4">
      <w:pPr>
        <w:spacing w:after="0" w:line="360" w:lineRule="auto"/>
        <w:ind w:firstLine="567"/>
        <w:jc w:val="center"/>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Рациональное ведение лесного хозяйства и повышение продуктивности насаждений должно включать не только действия, способствующие повышению прироста насаждений, но и мероприятия, направленные на улучшение и усиление почво-, водозащитных, рекреационных, санитарно-гигиенических и многих других средозащитных функций. Особенно это актуально в Республике Казахстан, леса которой занимают всего 4,6% от общей территории и имеют защитную категорию.</w:t>
      </w:r>
    </w:p>
    <w:p w:rsidR="00C21DA4" w:rsidRPr="008510F3" w:rsidRDefault="00C21DA4" w:rsidP="00C21DA4">
      <w:pPr>
        <w:numPr>
          <w:ilvl w:val="12"/>
          <w:numId w:val="0"/>
        </w:numPr>
        <w:spacing w:after="0" w:line="360" w:lineRule="auto"/>
        <w:ind w:firstLine="567"/>
        <w:jc w:val="both"/>
        <w:rPr>
          <w:rFonts w:ascii="Times New Roman" w:hAnsi="Times New Roman"/>
          <w:sz w:val="24"/>
          <w:szCs w:val="24"/>
        </w:rPr>
      </w:pPr>
      <w:r w:rsidRPr="008510F3">
        <w:rPr>
          <w:rFonts w:ascii="Times New Roman" w:hAnsi="Times New Roman"/>
          <w:sz w:val="24"/>
          <w:szCs w:val="24"/>
        </w:rPr>
        <w:t>Ведущим свойством лесных ресурсов, определяющим характер организации лесопользования, является долгосрочный характер их преобразования, воспроизводства и накопления. Поэтому дифференциация лесопользования по потребностям в лесных ресурсах должна быть стабильной и устойчивой. Это обеспечивается делением лесов на группы и категории защитности по народнохозяйственному значению.</w:t>
      </w:r>
    </w:p>
    <w:p w:rsidR="00C21DA4" w:rsidRPr="008510F3" w:rsidRDefault="00C21DA4" w:rsidP="00C21DA4">
      <w:pPr>
        <w:numPr>
          <w:ilvl w:val="12"/>
          <w:numId w:val="0"/>
        </w:numPr>
        <w:spacing w:after="0" w:line="360" w:lineRule="auto"/>
        <w:ind w:firstLine="567"/>
        <w:jc w:val="both"/>
        <w:rPr>
          <w:rFonts w:ascii="Times New Roman" w:hAnsi="Times New Roman"/>
          <w:sz w:val="24"/>
          <w:szCs w:val="24"/>
        </w:rPr>
      </w:pPr>
      <w:r w:rsidRPr="008510F3">
        <w:rPr>
          <w:rFonts w:ascii="Times New Roman" w:hAnsi="Times New Roman"/>
          <w:sz w:val="24"/>
          <w:szCs w:val="24"/>
        </w:rPr>
        <w:tab/>
        <w:t>В настоящее время чаще всего главным процессом лесопользования является использование древесины. Это обусловлено ее массовым потреблением. Состоянием ресурсов древесины определяются возможности использования других видов лесных ресурсов, включая полезные свойства лесов, а также само состояние лесов, объемы и способы проведения работ по их воспроизводству, охране и защите.</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ab/>
        <w:t xml:space="preserve">В интересах рационального использования всех видов лесных ресурсов потребление древесины должно вестись так, чтобы не вызывать уменьшения других ресурсов. </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Республика Казахстан активно включилась в международный процесс по выработке и претворению в жизнь критериев и индикаторов устойчивого управления лесным хозяйством. В их основе заложены принципы, принятые на Конференц</w:t>
      </w:r>
      <w:proofErr w:type="gramStart"/>
      <w:r w:rsidRPr="008510F3">
        <w:rPr>
          <w:rFonts w:ascii="Times New Roman" w:hAnsi="Times New Roman"/>
          <w:sz w:val="24"/>
          <w:szCs w:val="24"/>
        </w:rPr>
        <w:t>ии ОО</w:t>
      </w:r>
      <w:proofErr w:type="gramEnd"/>
      <w:r w:rsidRPr="008510F3">
        <w:rPr>
          <w:rFonts w:ascii="Times New Roman" w:hAnsi="Times New Roman"/>
          <w:sz w:val="24"/>
          <w:szCs w:val="24"/>
        </w:rPr>
        <w:t>Н по окружающей среде и устойчивому развитию (Рио-де-Жанейро, 1992) и второй Министерской конференции по защите лесов в Европе (Хельсинки, 1993), принципов национальной лесной и аграрной политики, нацеленной на продвижение к экономико-социальному и экологически устойчивому развитию территорий.</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lastRenderedPageBreak/>
        <w:t>Исходя из основополагающих принципов и принятых международным лесным сообществом документов, управление лесами (в том числе аграрными) должно включать решение следующих задач (критериев):</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сохранение жизнедеятельности и жизнеспособности лесных экосистем;</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сохранение и поддержание продуктивной способности лесов (древесная и недревесная продукция);</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сохранение, поддержание и целесообразное увеличение биологического разнообразия в лесных экосистемах;</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сохранение и целесообразное усиление защитных функций лесов в лесоводстве (в особенности почвы и воды);</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сохранение прочих социальных, экономических и культурных функций и условий.</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Первая задача, которая должна быть решена при переходе к устойчивому управлению лесами, - это оценка возможности его ведения при современной организации лесного хозяйства, и разработка основ экономической организации, отвечающей условиям и требованиям устойчивого лесопользования как технологической составляющей особой системы воспроизводства лесных ресурсов.</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Вторая задача – это оценка возможности применения принципов устойчивого управления лесами на современных лесных предприятиях, выявление характерных признаков и разработка новой структуры предприятий, отвечающих условиям и требованиям рационального использования лесных ресурсов.</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Третья задача – оценка соответствия современного состояния производств, обрабатывающих и перерабатывающих древесину, и системы экономических отношений между этими производствами и лесозаготовительными производством и лесовыращиванием, с целью создания заинтересованности тех и других в конечных результатах лесного хозяйства и результатах обработки и переработки продукции лесного хозяйства.</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 xml:space="preserve">Четвертая задача заключается в оценке соответствия современных технических средств, на основе которых ведутся лесохозяйственные и лесозаготовительные работы, тем экономическим и экологическим условиям и требованиям, которые существуют в системе устойчивого лесного хозяйства. </w:t>
      </w:r>
    </w:p>
    <w:p w:rsidR="00C21DA4" w:rsidRPr="008510F3" w:rsidRDefault="00C21DA4" w:rsidP="00C21DA4">
      <w:pPr>
        <w:spacing w:after="0" w:line="360" w:lineRule="auto"/>
        <w:ind w:firstLine="540"/>
        <w:jc w:val="both"/>
        <w:rPr>
          <w:rFonts w:ascii="Times New Roman" w:hAnsi="Times New Roman"/>
          <w:sz w:val="24"/>
          <w:szCs w:val="24"/>
        </w:rPr>
      </w:pPr>
      <w:r w:rsidRPr="008510F3">
        <w:rPr>
          <w:rFonts w:ascii="Times New Roman" w:hAnsi="Times New Roman"/>
          <w:sz w:val="24"/>
          <w:szCs w:val="24"/>
        </w:rPr>
        <w:t xml:space="preserve">Выполнение таких требований означает на практике переход к устойчивому лесному хозяйству. Устойчивое лесное хозяйство означает содержание и использование лесов, таким </w:t>
      </w:r>
      <w:proofErr w:type="gramStart"/>
      <w:r w:rsidRPr="008510F3">
        <w:rPr>
          <w:rFonts w:ascii="Times New Roman" w:hAnsi="Times New Roman"/>
          <w:sz w:val="24"/>
          <w:szCs w:val="24"/>
        </w:rPr>
        <w:t>образом</w:t>
      </w:r>
      <w:proofErr w:type="gramEnd"/>
      <w:r w:rsidRPr="008510F3">
        <w:rPr>
          <w:rFonts w:ascii="Times New Roman" w:hAnsi="Times New Roman"/>
          <w:sz w:val="24"/>
          <w:szCs w:val="24"/>
        </w:rPr>
        <w:t xml:space="preserve"> и в такой степени, когда сохраняется их биоразнообразие, продуктивность, регенерационная способность, жизнеспособность и потенциал для выполнения ими в </w:t>
      </w:r>
      <w:r w:rsidRPr="008510F3">
        <w:rPr>
          <w:rFonts w:ascii="Times New Roman" w:hAnsi="Times New Roman"/>
          <w:sz w:val="24"/>
          <w:szCs w:val="24"/>
        </w:rPr>
        <w:lastRenderedPageBreak/>
        <w:t>настоящее время и в будущем экологических, экономических и социальных функций на местном, национальном и мировом уровнях, и когда это не создает угрозы для других экосистем.</w:t>
      </w:r>
    </w:p>
    <w:p w:rsidR="00C21DA4" w:rsidRPr="008510F3" w:rsidRDefault="00C21DA4" w:rsidP="00C21DA4">
      <w:pPr>
        <w:spacing w:after="0" w:line="360" w:lineRule="auto"/>
        <w:ind w:firstLine="567"/>
        <w:jc w:val="both"/>
        <w:rPr>
          <w:rFonts w:ascii="Times New Roman" w:hAnsi="Times New Roman"/>
          <w:sz w:val="24"/>
          <w:szCs w:val="24"/>
        </w:rPr>
      </w:pPr>
      <w:proofErr w:type="gramStart"/>
      <w:r w:rsidRPr="008510F3">
        <w:rPr>
          <w:rFonts w:ascii="Times New Roman" w:hAnsi="Times New Roman"/>
          <w:sz w:val="24"/>
          <w:szCs w:val="24"/>
        </w:rPr>
        <w:t>На протяжении многих десятилетий ведутся поиски идеи ведения хозяйства в лесах, которая позволила бы определить единую цель, как в использовании лесов, так и в их восстановлении и сохранении, совместить потребности общества в лесных ресурсах с их воспроизводством и природными свойствами лесов.</w:t>
      </w:r>
      <w:proofErr w:type="gramEnd"/>
    </w:p>
    <w:p w:rsidR="00C21DA4" w:rsidRPr="008510F3" w:rsidRDefault="00C21DA4" w:rsidP="00C21DA4">
      <w:pPr>
        <w:spacing w:after="0" w:line="360" w:lineRule="auto"/>
        <w:rPr>
          <w:rFonts w:ascii="Times New Roman" w:hAnsi="Times New Roman"/>
          <w:sz w:val="24"/>
          <w:szCs w:val="24"/>
        </w:rPr>
      </w:pPr>
      <w:r w:rsidRPr="008510F3">
        <w:rPr>
          <w:rFonts w:ascii="Times New Roman" w:hAnsi="Times New Roman"/>
          <w:sz w:val="24"/>
          <w:szCs w:val="24"/>
        </w:rPr>
        <w:br w:type="page"/>
      </w:r>
    </w:p>
    <w:p w:rsidR="00C21DA4" w:rsidRPr="008510F3" w:rsidRDefault="00C21DA4" w:rsidP="00C21DA4">
      <w:pPr>
        <w:spacing w:after="0" w:line="360" w:lineRule="auto"/>
        <w:ind w:firstLine="540"/>
        <w:jc w:val="both"/>
        <w:rPr>
          <w:rFonts w:ascii="Times New Roman" w:hAnsi="Times New Roman"/>
          <w:bCs/>
          <w:sz w:val="24"/>
          <w:szCs w:val="24"/>
        </w:rPr>
      </w:pPr>
      <w:r w:rsidRPr="008510F3">
        <w:rPr>
          <w:rFonts w:ascii="Times New Roman" w:hAnsi="Times New Roman"/>
          <w:bCs/>
          <w:sz w:val="24"/>
          <w:szCs w:val="24"/>
        </w:rPr>
        <w:lastRenderedPageBreak/>
        <w:t>1 Основная часть</w:t>
      </w:r>
    </w:p>
    <w:p w:rsidR="00C21DA4" w:rsidRPr="008510F3" w:rsidRDefault="00C21DA4" w:rsidP="00C21DA4">
      <w:pPr>
        <w:spacing w:after="0" w:line="360" w:lineRule="auto"/>
        <w:ind w:firstLine="567"/>
        <w:jc w:val="both"/>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Для понимания выводов, которые легли в основу данных рекомендаций, считаем необходимым привести основные результаты наших исследований. Объектами исследований являлись естественные и искусственные насаждения сосны обыкновенной в государственном лесном природном резервате (ГЛПР) «Семей орманы» и ГНПП «Бурабай».</w:t>
      </w:r>
    </w:p>
    <w:p w:rsidR="00C21DA4" w:rsidRPr="008510F3" w:rsidRDefault="00C21DA4" w:rsidP="00C21DA4">
      <w:pPr>
        <w:spacing w:after="0" w:line="360" w:lineRule="auto"/>
        <w:ind w:firstLine="567"/>
        <w:jc w:val="both"/>
        <w:rPr>
          <w:rFonts w:ascii="Times New Roman" w:eastAsia="Times New Roman" w:hAnsi="Times New Roman"/>
          <w:sz w:val="24"/>
          <w:szCs w:val="24"/>
          <w:lang w:eastAsia="ru-RU"/>
        </w:rPr>
      </w:pPr>
    </w:p>
    <w:p w:rsidR="00C21DA4" w:rsidRPr="008510F3" w:rsidRDefault="00C21DA4" w:rsidP="00C21DA4">
      <w:pPr>
        <w:spacing w:after="0" w:line="360" w:lineRule="auto"/>
        <w:ind w:firstLine="567"/>
        <w:jc w:val="both"/>
        <w:rPr>
          <w:rFonts w:ascii="Times New Roman" w:eastAsia="Times New Roman" w:hAnsi="Times New Roman"/>
          <w:bCs/>
          <w:sz w:val="24"/>
          <w:szCs w:val="24"/>
          <w:lang w:eastAsia="ru-RU"/>
        </w:rPr>
      </w:pPr>
      <w:r w:rsidRPr="008510F3">
        <w:rPr>
          <w:rFonts w:ascii="Times New Roman" w:eastAsia="Times New Roman" w:hAnsi="Times New Roman"/>
          <w:bCs/>
          <w:sz w:val="24"/>
          <w:szCs w:val="24"/>
          <w:lang w:eastAsia="ru-RU"/>
        </w:rPr>
        <w:t>1.1 Природно-климатические условия региона исследований</w:t>
      </w:r>
    </w:p>
    <w:p w:rsidR="00C21DA4" w:rsidRPr="008510F3" w:rsidRDefault="00C21DA4" w:rsidP="00C21DA4">
      <w:pPr>
        <w:pStyle w:val="af4"/>
        <w:spacing w:before="0" w:beforeAutospacing="0" w:after="0" w:afterAutospacing="0" w:line="360" w:lineRule="auto"/>
        <w:ind w:firstLine="567"/>
        <w:jc w:val="both"/>
      </w:pPr>
      <w:r w:rsidRPr="008510F3">
        <w:t xml:space="preserve">ГЛПР «Семей орманы» был создан 22 января 2003 года для сохранения и восстановления уникальных ленточных боров Прииртышья. </w:t>
      </w:r>
      <w:r w:rsidRPr="008510F3">
        <w:rPr>
          <w:rFonts w:eastAsia="Calibri"/>
        </w:rPr>
        <w:t xml:space="preserve">Ленточные боры расположены в северо-западной части Восточно-Казахстанской области, территории девяти филиалов относятся к подзоне сухих полынно-типчаковых степей, территория Жарминского филиала — к пустынной широтно-географической зоне. Основные массивы сосняков расположены вдоль реки Иртыш и входят в Иртышско-Обскую провинцию сосновых и березовых остепненных лесов, в южной части резервата леса произрастают редкими небольшими ареалами.  </w:t>
      </w:r>
      <w:r w:rsidRPr="008510F3">
        <w:t xml:space="preserve">Общая площадь территории резервата составляет 665502 га, в том числе покрытые лесом угодья – 392802 га. Рельеф ленточный боров сложный – эоловые формы рельефа в восточной части резервата возвышаются над лугово-степными элементами. В западной части преобладает слабоволнистый, почти равнинный рельеф.  </w:t>
      </w:r>
    </w:p>
    <w:p w:rsidR="00C21DA4" w:rsidRPr="008510F3" w:rsidRDefault="00C21DA4" w:rsidP="00C21DA4">
      <w:pPr>
        <w:spacing w:after="0" w:line="360" w:lineRule="auto"/>
        <w:ind w:firstLine="709"/>
        <w:jc w:val="both"/>
        <w:rPr>
          <w:rFonts w:ascii="Times New Roman" w:hAnsi="Times New Roman"/>
          <w:sz w:val="24"/>
          <w:szCs w:val="24"/>
        </w:rPr>
      </w:pPr>
      <w:r w:rsidRPr="008510F3">
        <w:rPr>
          <w:rFonts w:ascii="Times New Roman" w:hAnsi="Times New Roman"/>
          <w:sz w:val="24"/>
          <w:szCs w:val="24"/>
        </w:rPr>
        <w:t>Климат резко континентальный, с холодной относительно малоснежной зимой и жарким засушливым летом. Характеризуется большими суточными и годовыми амплитудами температуры воздуха. Минимальная температура в зимний период -52</w:t>
      </w:r>
      <w:r w:rsidRPr="008510F3">
        <w:rPr>
          <w:rFonts w:ascii="Times New Roman" w:hAnsi="Times New Roman"/>
          <w:sz w:val="24"/>
          <w:szCs w:val="24"/>
          <w:vertAlign w:val="superscript"/>
        </w:rPr>
        <w:t>0</w:t>
      </w:r>
      <w:r w:rsidRPr="008510F3">
        <w:rPr>
          <w:rFonts w:ascii="Times New Roman" w:hAnsi="Times New Roman"/>
          <w:sz w:val="24"/>
          <w:szCs w:val="24"/>
        </w:rPr>
        <w:t>С, летом - +46</w:t>
      </w:r>
      <w:r w:rsidRPr="008510F3">
        <w:rPr>
          <w:rFonts w:ascii="Times New Roman" w:hAnsi="Times New Roman"/>
          <w:sz w:val="24"/>
          <w:szCs w:val="24"/>
          <w:vertAlign w:val="superscript"/>
        </w:rPr>
        <w:t>0</w:t>
      </w:r>
      <w:r w:rsidRPr="008510F3">
        <w:rPr>
          <w:rFonts w:ascii="Times New Roman" w:hAnsi="Times New Roman"/>
          <w:sz w:val="24"/>
          <w:szCs w:val="24"/>
        </w:rPr>
        <w:t>С. Среднемесячная температура июля – 20-22</w:t>
      </w:r>
      <w:r w:rsidRPr="008510F3">
        <w:rPr>
          <w:rFonts w:ascii="Times New Roman" w:hAnsi="Times New Roman"/>
          <w:sz w:val="24"/>
          <w:szCs w:val="24"/>
          <w:vertAlign w:val="superscript"/>
        </w:rPr>
        <w:t>0</w:t>
      </w:r>
      <w:r w:rsidRPr="008510F3">
        <w:rPr>
          <w:rFonts w:ascii="Times New Roman" w:hAnsi="Times New Roman"/>
          <w:sz w:val="24"/>
          <w:szCs w:val="24"/>
        </w:rPr>
        <w:t>С, среднегодовая – от 3 до 2,8</w:t>
      </w:r>
      <w:r w:rsidRPr="008510F3">
        <w:rPr>
          <w:rFonts w:ascii="Times New Roman" w:hAnsi="Times New Roman"/>
          <w:sz w:val="24"/>
          <w:szCs w:val="24"/>
          <w:vertAlign w:val="superscript"/>
        </w:rPr>
        <w:t>0</w:t>
      </w:r>
      <w:r w:rsidRPr="008510F3">
        <w:rPr>
          <w:rFonts w:ascii="Times New Roman" w:hAnsi="Times New Roman"/>
          <w:sz w:val="24"/>
          <w:szCs w:val="24"/>
        </w:rPr>
        <w:t xml:space="preserve">С.  Осадков немного – 130-200 мм в год, в летний период частым явлением бывают засухи. Продолжительность вегетационного периода в среднем составляет 176 суток. </w:t>
      </w:r>
    </w:p>
    <w:p w:rsidR="00C21DA4" w:rsidRPr="008510F3" w:rsidRDefault="00C21DA4" w:rsidP="00C21DA4">
      <w:pPr>
        <w:spacing w:after="0" w:line="360" w:lineRule="auto"/>
        <w:ind w:firstLine="709"/>
        <w:jc w:val="both"/>
        <w:rPr>
          <w:rFonts w:ascii="Times New Roman" w:hAnsi="Times New Roman"/>
          <w:sz w:val="24"/>
          <w:szCs w:val="24"/>
        </w:rPr>
      </w:pPr>
      <w:r w:rsidRPr="008510F3">
        <w:rPr>
          <w:rFonts w:ascii="Times New Roman" w:hAnsi="Times New Roman"/>
          <w:sz w:val="24"/>
          <w:szCs w:val="24"/>
        </w:rPr>
        <w:t>Почвы резервата, в основном, дерново-боровые и песчаные, изредка встречаются темно-каштановые малогумусные почвы.</w:t>
      </w:r>
    </w:p>
    <w:p w:rsidR="00C21DA4" w:rsidRPr="008510F3" w:rsidRDefault="00C21DA4" w:rsidP="00C21DA4">
      <w:pPr>
        <w:spacing w:after="0" w:line="360" w:lineRule="auto"/>
        <w:ind w:firstLine="709"/>
        <w:jc w:val="both"/>
        <w:rPr>
          <w:rFonts w:ascii="Times New Roman" w:hAnsi="Times New Roman"/>
          <w:sz w:val="24"/>
          <w:szCs w:val="24"/>
        </w:rPr>
      </w:pPr>
      <w:r w:rsidRPr="008510F3">
        <w:rPr>
          <w:rFonts w:ascii="Times New Roman" w:hAnsi="Times New Roman"/>
          <w:sz w:val="24"/>
          <w:szCs w:val="24"/>
        </w:rPr>
        <w:t xml:space="preserve">Основной древесной породой в ленточных борах является сосна обыкновенная, в понижениях встречаются смешанные сосново-березовые древостои, занимающие незначительную площадь. Тополевые и ветловые леса располагаются вдоль русла реки Иртыш. </w:t>
      </w:r>
    </w:p>
    <w:p w:rsidR="00C21DA4" w:rsidRPr="008510F3" w:rsidRDefault="00C21DA4" w:rsidP="00C21DA4">
      <w:pPr>
        <w:spacing w:after="0" w:line="360" w:lineRule="auto"/>
        <w:ind w:firstLine="709"/>
        <w:jc w:val="both"/>
        <w:rPr>
          <w:rFonts w:ascii="Times New Roman" w:hAnsi="Times New Roman"/>
          <w:sz w:val="24"/>
          <w:szCs w:val="24"/>
        </w:rPr>
      </w:pPr>
      <w:r w:rsidRPr="008510F3">
        <w:rPr>
          <w:rFonts w:ascii="Times New Roman" w:hAnsi="Times New Roman"/>
          <w:sz w:val="24"/>
          <w:szCs w:val="24"/>
        </w:rPr>
        <w:t xml:space="preserve">В целом, лесорастительные условия местоположения резервата достаточно суровые. Частые сильные ветры, имеющие скорость до 4-5 м/сек, летом превращаются в </w:t>
      </w:r>
      <w:r w:rsidRPr="008510F3">
        <w:rPr>
          <w:rFonts w:ascii="Times New Roman" w:hAnsi="Times New Roman"/>
          <w:sz w:val="24"/>
          <w:szCs w:val="24"/>
        </w:rPr>
        <w:lastRenderedPageBreak/>
        <w:t xml:space="preserve">суховеи, зимой сдувают снег на открытых местах, из-за чего почва промерзает на большую глубину. Данные погодные условия являются лимитирующими факторами для роста естественных насаждений и успешного создания искусственных лесов. Частые летние грозы способствуют возникновению лесных пожаров, особенно на фоне летней засухи, когда гибнут большие площади ленточных боров.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Дендрохронологический анализ сосны обыкновенной, произрастающей в условиях Северного и Восточного Казахстана, выявил особенности ее роста в сухих лесорастительных условиях. В среднем, период интенсивного роста сосняков составляет 25-35 лет, после чего отмечается снижение влияния фактора возраста на величину ширины годичного кольца.</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По данным проведенного дендроклиматического анализа древесно-кольцевых хронологий сосны, произрастающей </w:t>
      </w:r>
      <w:proofErr w:type="gramStart"/>
      <w:r w:rsidRPr="008510F3">
        <w:rPr>
          <w:rFonts w:ascii="Times New Roman" w:hAnsi="Times New Roman"/>
          <w:sz w:val="24"/>
          <w:szCs w:val="24"/>
        </w:rPr>
        <w:t>в</w:t>
      </w:r>
      <w:proofErr w:type="gramEnd"/>
      <w:r w:rsidRPr="008510F3">
        <w:rPr>
          <w:rFonts w:ascii="Times New Roman" w:hAnsi="Times New Roman"/>
          <w:sz w:val="24"/>
          <w:szCs w:val="24"/>
        </w:rPr>
        <w:t xml:space="preserve"> </w:t>
      </w:r>
      <w:proofErr w:type="gramStart"/>
      <w:r w:rsidRPr="008510F3">
        <w:rPr>
          <w:rFonts w:ascii="Times New Roman" w:hAnsi="Times New Roman"/>
          <w:sz w:val="24"/>
          <w:szCs w:val="24"/>
        </w:rPr>
        <w:t>Северном</w:t>
      </w:r>
      <w:proofErr w:type="gramEnd"/>
      <w:r w:rsidRPr="008510F3">
        <w:rPr>
          <w:rFonts w:ascii="Times New Roman" w:hAnsi="Times New Roman"/>
          <w:sz w:val="24"/>
          <w:szCs w:val="24"/>
        </w:rPr>
        <w:t xml:space="preserve"> и Восточном Казахстане, установлено, что на ширину годичного кольца в наибольшей степени оказывает влияние климатический сигнал температуры и в наименьшей степени ‒ осадков.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Первая половина вегетационного сезона полностью определяет ширину годичного кольца. Жаркие </w:t>
      </w:r>
      <w:proofErr w:type="gramStart"/>
      <w:r w:rsidRPr="008510F3">
        <w:rPr>
          <w:rFonts w:ascii="Times New Roman" w:hAnsi="Times New Roman"/>
          <w:sz w:val="24"/>
          <w:szCs w:val="24"/>
        </w:rPr>
        <w:t>май</w:t>
      </w:r>
      <w:proofErr w:type="gramEnd"/>
      <w:r w:rsidRPr="008510F3">
        <w:rPr>
          <w:rFonts w:ascii="Times New Roman" w:hAnsi="Times New Roman"/>
          <w:sz w:val="24"/>
          <w:szCs w:val="24"/>
        </w:rPr>
        <w:t xml:space="preserve"> и июнь отрицательно влияют на радиальный прирост сосны обыкновенной, произрастающей в сухих лесорастительных условиях Северного и Восточного Казахстана, а осадки, наоборот способствуют формированию более широких годичных колец. При этом основной вклад в изменчивость ширины годичного кольца вносит именно температура воздуха. </w:t>
      </w:r>
    </w:p>
    <w:p w:rsidR="00C21DA4" w:rsidRPr="008510F3" w:rsidRDefault="00C21DA4" w:rsidP="00C21DA4">
      <w:pPr>
        <w:spacing w:after="0" w:line="360" w:lineRule="auto"/>
        <w:ind w:firstLine="709"/>
        <w:jc w:val="both"/>
        <w:rPr>
          <w:rFonts w:ascii="Times New Roman" w:hAnsi="Times New Roman"/>
          <w:sz w:val="24"/>
          <w:szCs w:val="24"/>
        </w:rPr>
      </w:pPr>
      <w:r w:rsidRPr="008510F3">
        <w:rPr>
          <w:rFonts w:ascii="Times New Roman" w:hAnsi="Times New Roman"/>
          <w:bCs/>
          <w:sz w:val="24"/>
          <w:szCs w:val="24"/>
        </w:rPr>
        <w:t>Государственный национальный природный парк «Бурабай»</w:t>
      </w:r>
      <w:r w:rsidRPr="008510F3">
        <w:rPr>
          <w:rFonts w:ascii="Times New Roman" w:hAnsi="Times New Roman"/>
          <w:sz w:val="24"/>
          <w:szCs w:val="24"/>
        </w:rPr>
        <w:t xml:space="preserve"> создан в августе 2000 года и находится в ведении Управления делами Президента РК. В настоящее время общая площадь национального парка составляет 129 935 гектаров.</w:t>
      </w:r>
    </w:p>
    <w:p w:rsidR="00C21DA4" w:rsidRPr="008510F3" w:rsidRDefault="00C21DA4" w:rsidP="00C21DA4">
      <w:pPr>
        <w:spacing w:after="0" w:line="360" w:lineRule="auto"/>
        <w:ind w:firstLine="709"/>
        <w:jc w:val="both"/>
        <w:rPr>
          <w:rFonts w:ascii="Times New Roman" w:hAnsi="Times New Roman"/>
          <w:sz w:val="24"/>
          <w:szCs w:val="24"/>
        </w:rPr>
      </w:pPr>
      <w:r w:rsidRPr="008510F3">
        <w:rPr>
          <w:rFonts w:ascii="Times New Roman" w:hAnsi="Times New Roman"/>
          <w:sz w:val="24"/>
          <w:szCs w:val="24"/>
        </w:rPr>
        <w:t>В районе выделяются три характерных типа рельефа: низкогорный, мелкосопочно-грядовой и равнинный. Территория ГНПП "Бурабай" входит в состав Кокшетауской степной, лесостепной и увалисто-мелкосопочной возвышенности. Климат резко континентальный, с жарким летом и суровой зимой. Современная структура ландшафтов территории парка представлена степными, озерными, лесными, лесостепными ландшафтами и ландшафтами низкогорий.</w:t>
      </w:r>
    </w:p>
    <w:p w:rsidR="00C21DA4" w:rsidRPr="008510F3" w:rsidRDefault="00C21DA4" w:rsidP="00C21DA4">
      <w:pPr>
        <w:spacing w:after="0" w:line="360" w:lineRule="auto"/>
        <w:ind w:firstLine="709"/>
        <w:jc w:val="both"/>
        <w:rPr>
          <w:rFonts w:ascii="Times New Roman" w:hAnsi="Times New Roman"/>
          <w:sz w:val="24"/>
          <w:szCs w:val="24"/>
        </w:rPr>
      </w:pPr>
      <w:r w:rsidRPr="008510F3">
        <w:rPr>
          <w:rFonts w:ascii="Times New Roman" w:hAnsi="Times New Roman"/>
          <w:bCs/>
          <w:sz w:val="24"/>
          <w:szCs w:val="24"/>
        </w:rPr>
        <w:t xml:space="preserve">Растительность на территории парка </w:t>
      </w:r>
      <w:r w:rsidRPr="008510F3">
        <w:rPr>
          <w:rFonts w:ascii="Times New Roman" w:hAnsi="Times New Roman"/>
          <w:sz w:val="24"/>
          <w:szCs w:val="24"/>
        </w:rPr>
        <w:t xml:space="preserve">представлена лесным, степным, луговым, болотным и солончаковым типами, флора насчитывает около 800 видов растений. Растительность района тесно связана с ландшафтными особенностями Кокшетауской возвышенности. Ее приподнятое положение и сильная пересеченность, несколько большее по сравнению с окружающими территориями количество осадков (300-350 мм), </w:t>
      </w:r>
      <w:r w:rsidRPr="008510F3">
        <w:rPr>
          <w:rFonts w:ascii="Times New Roman" w:hAnsi="Times New Roman"/>
          <w:sz w:val="24"/>
          <w:szCs w:val="24"/>
        </w:rPr>
        <w:lastRenderedPageBreak/>
        <w:t>повышенная влагообеспеченность определяют существование лесостепного ландшафта в зоне степей. В верхней части гранитных массивов преобладают сосновые и березово-сосновые леса. В нижней части более характерны лесостепные сочетания. Из древесных пород первое место принадлежит сосне, второе - березе. Осина встречается как примесь к сосне и березе. На гранитных низкогорьях формируются чистые сосняки, на холмогорьях развиваются сосняки со значительной долей березы. На нагорных равнинах (низкие, плоские увалы, плато) равно присутствуют леса сосновые и березовые с осиной. Позиции сосны здесь неустойчивы, она часто и продолжительно сменяется лиственными породами.</w:t>
      </w:r>
    </w:p>
    <w:p w:rsidR="00C21DA4" w:rsidRPr="008510F3" w:rsidRDefault="00C21DA4" w:rsidP="00C21DA4">
      <w:pPr>
        <w:spacing w:after="0" w:line="360" w:lineRule="auto"/>
        <w:ind w:firstLine="709"/>
        <w:jc w:val="both"/>
        <w:rPr>
          <w:rFonts w:ascii="Times New Roman" w:hAnsi="Times New Roman"/>
          <w:sz w:val="24"/>
          <w:szCs w:val="24"/>
        </w:rPr>
      </w:pPr>
      <w:r w:rsidRPr="008510F3">
        <w:rPr>
          <w:rFonts w:ascii="Times New Roman" w:hAnsi="Times New Roman"/>
          <w:sz w:val="24"/>
          <w:szCs w:val="24"/>
        </w:rPr>
        <w:t xml:space="preserve">Древесная растительность испытывает хронический недостаток влаги. Насаждения подвержены сильному воздействию ветра, поэтому деревья часто имеют однобокие кроны и </w:t>
      </w:r>
      <w:proofErr w:type="gramStart"/>
      <w:r w:rsidRPr="008510F3">
        <w:rPr>
          <w:rFonts w:ascii="Times New Roman" w:hAnsi="Times New Roman"/>
          <w:sz w:val="24"/>
          <w:szCs w:val="24"/>
        </w:rPr>
        <w:t>сильно изогнутые</w:t>
      </w:r>
      <w:proofErr w:type="gramEnd"/>
      <w:r w:rsidRPr="008510F3">
        <w:rPr>
          <w:rFonts w:ascii="Times New Roman" w:hAnsi="Times New Roman"/>
          <w:sz w:val="24"/>
          <w:szCs w:val="24"/>
        </w:rPr>
        <w:t xml:space="preserve"> стволы. </w:t>
      </w:r>
    </w:p>
    <w:p w:rsidR="00C21DA4" w:rsidRPr="008510F3" w:rsidRDefault="00C21DA4" w:rsidP="00C21DA4">
      <w:pPr>
        <w:spacing w:after="0" w:line="360" w:lineRule="auto"/>
        <w:ind w:firstLine="567"/>
        <w:jc w:val="both"/>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1.2 Результаты исследований</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На объектах исследований увеличение радиального прироста отмечалось после проведения первого приема рубок ухода в возрасте 25-30 лет в сухих сосняках ГНПП «Бурабай» и в возрасте 30-35 лет – в сухих сосняках ГЛПР «Семей орманы». </w:t>
      </w:r>
    </w:p>
    <w:p w:rsidR="00C21DA4" w:rsidRPr="008510F3" w:rsidRDefault="00C21DA4" w:rsidP="00C21DA4">
      <w:pPr>
        <w:spacing w:after="0" w:line="360" w:lineRule="auto"/>
        <w:ind w:firstLine="567"/>
        <w:jc w:val="both"/>
        <w:rPr>
          <w:rFonts w:ascii="Times New Roman" w:hAnsi="Times New Roman"/>
          <w:sz w:val="24"/>
          <w:szCs w:val="24"/>
        </w:rPr>
      </w:pPr>
      <w:proofErr w:type="gramStart"/>
      <w:r w:rsidRPr="008510F3">
        <w:rPr>
          <w:rFonts w:ascii="Times New Roman" w:hAnsi="Times New Roman"/>
          <w:sz w:val="24"/>
          <w:szCs w:val="24"/>
        </w:rPr>
        <w:t>Установленный в ходе анализа данных за 70-летний период факт загущенности сосновых древостоев в ГНПП «Бурабай» на контрольных секциях, а также высокие значения полноты древостоев (1,1) после проведения пяти приемов ухода сильной интенсивности изреживания, является подтверждением того, что при разработке лесохозяйственных мероприятий, направленных на повышение защитных функций и биологической устойчивости насаждений, в частности рубок ухода, в загущенных естественных сосняках Казахского мелкосопочника</w:t>
      </w:r>
      <w:proofErr w:type="gramEnd"/>
      <w:r w:rsidRPr="008510F3">
        <w:rPr>
          <w:rFonts w:ascii="Times New Roman" w:hAnsi="Times New Roman"/>
          <w:sz w:val="24"/>
          <w:szCs w:val="24"/>
        </w:rPr>
        <w:t xml:space="preserve"> густота произрастания должна быть одним из главных показателей для подбора оптимального режима изреживания.</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Выявленные в результате проведенных исследований высокие значения относительной полноты сосновых древостоев, достигающие значения 1,9, свидетельствуют о необходимости </w:t>
      </w:r>
      <w:proofErr w:type="gramStart"/>
      <w:r w:rsidRPr="008510F3">
        <w:rPr>
          <w:rFonts w:ascii="Times New Roman" w:hAnsi="Times New Roman"/>
          <w:sz w:val="24"/>
          <w:szCs w:val="24"/>
        </w:rPr>
        <w:t>уточнения стандартных таблиц хода роста сосняков Казахского мелкосопочника</w:t>
      </w:r>
      <w:proofErr w:type="gramEnd"/>
      <w:r w:rsidRPr="008510F3">
        <w:rPr>
          <w:rFonts w:ascii="Times New Roman" w:hAnsi="Times New Roman"/>
          <w:sz w:val="24"/>
          <w:szCs w:val="24"/>
        </w:rPr>
        <w:t>.</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Проведенный дендрохронологический анализ данных в загущенных сосняках сухих условий произрастания ГНПП «Бурабай» показал, что после проведения в них рубок ухода сильной интенсивности изреживания отмечается общая закономерность увеличения, в сравнении с контролем, значения ширины годичного кольца в каждый последующий 10-летний период после приема рубок, при этом можно выделить период с 1948 по 1960 </w:t>
      </w:r>
      <w:proofErr w:type="gramStart"/>
      <w:r w:rsidRPr="008510F3">
        <w:rPr>
          <w:rFonts w:ascii="Times New Roman" w:hAnsi="Times New Roman"/>
          <w:sz w:val="24"/>
          <w:szCs w:val="24"/>
        </w:rPr>
        <w:t>гг</w:t>
      </w:r>
      <w:proofErr w:type="gramEnd"/>
      <w:r w:rsidRPr="008510F3">
        <w:rPr>
          <w:rFonts w:ascii="Times New Roman" w:hAnsi="Times New Roman"/>
          <w:sz w:val="24"/>
          <w:szCs w:val="24"/>
        </w:rPr>
        <w:t xml:space="preserve">, когда наблюдается наибольший отклик анализируемого показателя на </w:t>
      </w:r>
      <w:r w:rsidRPr="008510F3">
        <w:rPr>
          <w:rFonts w:ascii="Times New Roman" w:hAnsi="Times New Roman"/>
          <w:sz w:val="24"/>
          <w:szCs w:val="24"/>
        </w:rPr>
        <w:lastRenderedPageBreak/>
        <w:t xml:space="preserve">проводимые рубки сильной интенсивности изреживания. Установленные существенные различия в радиальном приросте между контролем и сосняках </w:t>
      </w:r>
      <w:proofErr w:type="gramStart"/>
      <w:r w:rsidRPr="008510F3">
        <w:rPr>
          <w:rFonts w:ascii="Times New Roman" w:hAnsi="Times New Roman"/>
          <w:sz w:val="24"/>
          <w:szCs w:val="24"/>
        </w:rPr>
        <w:t>с</w:t>
      </w:r>
      <w:proofErr w:type="gramEnd"/>
      <w:r w:rsidRPr="008510F3">
        <w:rPr>
          <w:rFonts w:ascii="Times New Roman" w:hAnsi="Times New Roman"/>
          <w:sz w:val="24"/>
          <w:szCs w:val="24"/>
        </w:rPr>
        <w:t xml:space="preserve"> проведенными РУ подтверждены статистически.</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За последние 15 лет установлено снижение влияния температуры и осадков июня на ширину годичного кольца деревьев сосны в загущенных сосновых древостоях ГНПП «Бурабай» с </w:t>
      </w:r>
      <w:proofErr w:type="gramStart"/>
      <w:r w:rsidRPr="008510F3">
        <w:rPr>
          <w:rFonts w:ascii="Times New Roman" w:hAnsi="Times New Roman"/>
          <w:sz w:val="24"/>
          <w:szCs w:val="24"/>
        </w:rPr>
        <w:t>проведенным</w:t>
      </w:r>
      <w:proofErr w:type="gramEnd"/>
      <w:r w:rsidRPr="008510F3">
        <w:rPr>
          <w:rFonts w:ascii="Times New Roman" w:hAnsi="Times New Roman"/>
          <w:sz w:val="24"/>
          <w:szCs w:val="24"/>
        </w:rPr>
        <w:t xml:space="preserve"> в них рубками ухода сильной интенсивности изреживания (35,7% по запасу). Это является основанием для утверждения положительного эффекта рубок ухода сильной интенсивности изреживания в загущенных сосняках сухих лесорастительных условиях Казахского мелкосопочника и снижения взаимосвязи радиального прироста с климатическими факторами.</w:t>
      </w:r>
    </w:p>
    <w:p w:rsidR="00C21DA4" w:rsidRPr="008510F3" w:rsidRDefault="00C21DA4" w:rsidP="00C21DA4">
      <w:pPr>
        <w:spacing w:after="0" w:line="360" w:lineRule="auto"/>
        <w:ind w:firstLine="567"/>
        <w:jc w:val="both"/>
        <w:rPr>
          <w:rFonts w:ascii="Times New Roman" w:hAnsi="Times New Roman"/>
          <w:sz w:val="24"/>
          <w:szCs w:val="24"/>
        </w:rPr>
      </w:pPr>
      <w:proofErr w:type="gramStart"/>
      <w:r w:rsidRPr="008510F3">
        <w:rPr>
          <w:rFonts w:ascii="Times New Roman" w:hAnsi="Times New Roman"/>
          <w:sz w:val="24"/>
          <w:szCs w:val="24"/>
        </w:rPr>
        <w:t>В искусственных сосняках ГЛПР «Семей орманы» диаметр на момент исследований на контроле составлял 13,1 см, на пробной площади – 15,0 см. Величина среднего радиального прироста до проведения рубок сильной интенсивности на 8,6% превышала аналогичный показатель на контроле, после рубок – на 58,0%. Хотя средние показатели за все годы наблюдений на пробной площади были больше на 13,2%, чем на контроле, явно выделяется ускорение</w:t>
      </w:r>
      <w:proofErr w:type="gramEnd"/>
      <w:r w:rsidRPr="008510F3">
        <w:rPr>
          <w:rFonts w:ascii="Times New Roman" w:hAnsi="Times New Roman"/>
          <w:sz w:val="24"/>
          <w:szCs w:val="24"/>
        </w:rPr>
        <w:t xml:space="preserve"> роста деревьев после проведения рубок, когда прирост увеличивался более чем в 2 раза. После проведения рубки ухода радиальные приросты на пробной площади были больше, чем на контроле за этот же период. Максимальные значения данного признака составили 1,58 мм, тогда как на контроле за период после проведения рубок ухода на пробной площади – 1,20 мм.</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На примере лесных культур ГЛПР «Семей орманы» очевидно, что проведение рубок ухода необходимо и оправданно. Наглядно видно, что после уходных работ произошло значительное увеличение радиального прироста деревьев.</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Общеизвестно, что кроме многочисленных почвенно-климатических факторов, на рост деревьев оказывает влияние солнечная инсоляция. В ГЛПР «Семей орманы» радиальный прирост сосны в годы максимума солнечной активности составил на пробной площади 0,77 мм, на контроле – 0,88 мм, в годы минимума солнечной активности соответственно - 0,70 и 0,68 мм. В этом случае разница по приросту между эпохой максимума и минимума составила соответственно 9,1 и 22,3%.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По индексной оценке на максимум солнечной активности приходится 28,6% максимального прироста, 71,4% - на ветвь спада. Фазы солнечной активности при минимальном приросте более разнообразны – 30,0% приходится на максимумы, 20,0% - на ветви спада и 50% - на ветви роста. Следовательно, при максимальной солнечной активности прирост сосны наблюдается как с наибольшими, так и с наименьшими </w:t>
      </w:r>
      <w:r w:rsidRPr="008510F3">
        <w:rPr>
          <w:rFonts w:ascii="Times New Roman" w:hAnsi="Times New Roman"/>
          <w:sz w:val="24"/>
          <w:szCs w:val="24"/>
        </w:rPr>
        <w:lastRenderedPageBreak/>
        <w:t xml:space="preserve">значениями. На ветвях спада наблюдается максимальный прирост сосны, а на ветвях роста деревья имеют наименьший прирост. Проведенный корреляционный анализ между показателями прироста сосны и факторами среды (средние температуры вегетационного периода и годовая), а также между числами Вольфа (солнечная активность) показал, что имеется тесная отрицательная корреляционная связь, значимая на уровне </w:t>
      </w:r>
      <w:proofErr w:type="gramStart"/>
      <w:r w:rsidRPr="008510F3">
        <w:rPr>
          <w:rFonts w:ascii="Times New Roman" w:hAnsi="Times New Roman"/>
          <w:i/>
          <w:sz w:val="24"/>
          <w:szCs w:val="24"/>
        </w:rPr>
        <w:t>р</w:t>
      </w:r>
      <w:proofErr w:type="gramEnd"/>
      <w:r w:rsidRPr="008510F3">
        <w:rPr>
          <w:rFonts w:ascii="Times New Roman" w:hAnsi="Times New Roman"/>
          <w:i/>
          <w:sz w:val="24"/>
          <w:szCs w:val="24"/>
        </w:rPr>
        <w:t>&lt;0,005</w:t>
      </w:r>
      <w:r w:rsidRPr="008510F3">
        <w:rPr>
          <w:rFonts w:ascii="Times New Roman" w:hAnsi="Times New Roman"/>
          <w:sz w:val="24"/>
          <w:szCs w:val="24"/>
        </w:rPr>
        <w:t>, между средними показателями температуры и приростом (</w:t>
      </w:r>
      <w:r w:rsidRPr="008510F3">
        <w:rPr>
          <w:rFonts w:ascii="Times New Roman" w:hAnsi="Times New Roman"/>
          <w:sz w:val="24"/>
          <w:szCs w:val="24"/>
          <w:lang w:val="en-US"/>
        </w:rPr>
        <w:t>R</w:t>
      </w:r>
      <w:r w:rsidRPr="008510F3">
        <w:rPr>
          <w:rFonts w:ascii="Times New Roman" w:hAnsi="Times New Roman"/>
          <w:sz w:val="24"/>
          <w:szCs w:val="24"/>
        </w:rPr>
        <w:t>= - 0,24 и 0,47). Связь между интенсивностью солнечного воздействия и приростом очень слабая (</w:t>
      </w:r>
      <w:r w:rsidRPr="008510F3">
        <w:rPr>
          <w:rFonts w:ascii="Times New Roman" w:hAnsi="Times New Roman"/>
          <w:sz w:val="24"/>
          <w:szCs w:val="24"/>
          <w:lang w:val="en-US"/>
        </w:rPr>
        <w:t>R</w:t>
      </w:r>
      <w:r w:rsidRPr="008510F3">
        <w:rPr>
          <w:rFonts w:ascii="Times New Roman" w:hAnsi="Times New Roman"/>
          <w:sz w:val="24"/>
          <w:szCs w:val="24"/>
        </w:rPr>
        <w:t>=0,06).</w:t>
      </w:r>
    </w:p>
    <w:p w:rsidR="00C21DA4" w:rsidRPr="008510F3" w:rsidRDefault="00C21DA4" w:rsidP="00C21DA4">
      <w:pPr>
        <w:spacing w:after="0" w:line="360" w:lineRule="auto"/>
        <w:jc w:val="both"/>
        <w:rPr>
          <w:rFonts w:ascii="Times New Roman" w:hAnsi="Times New Roman"/>
          <w:sz w:val="24"/>
          <w:szCs w:val="24"/>
        </w:rPr>
      </w:pPr>
      <w:r w:rsidRPr="008510F3">
        <w:rPr>
          <w:rFonts w:ascii="Times New Roman" w:hAnsi="Times New Roman"/>
          <w:sz w:val="24"/>
          <w:szCs w:val="24"/>
        </w:rPr>
        <w:t>Поскольку явного и однозначного влияния солнечной активности на прирост сосны, как это наблюдалось в ГЛПР «Семей орманы», в естественных лесах ГНПП «Бурабай» не было, рассчитали процент минимальных и максимальных значений прироста в зависимости от чисел Вольфа. При минимальных приростах 29,2% приходится на максимальные значения солнечной активности, 50,0% величин приростов наблюдается на ветви спада и 20,8% - на ветвь роста. На годы с максимальной солнечной активностью приходится 25,9% максимальных приростов, 29,6% - на ветвь роста и 44,4% - на ветвь спада. Примерно одинаковое минимальных и максимальных приростов попадает на все фазы солнечной активности, поэтому нельзя с уверенностью констатировать, что какая-либо фаза достоверно влияет на радиальный прирост сосны обыкновенной в условиях Северного Казахстана. Можно сказать, что в более молодом возрасте влияние различных природных факторов более выражено, как мы видим на примере двух разновозрастных насаждений Северного и Восточного Казахстана.</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Проведенный анализ по радиальному приросту в течение всего наблюдаемого цикла выявил формулы, по которым возможен прогноз роста на любой период существования насаждения сосны обыкновенной в условиях Северного и Восточного Казахстана. По наблюдениям в течение всего периода жизни насаждения в ГНПП «Бурабай» уровень достоверности аппроксимации имеет среднее значение - </w:t>
      </w: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 xml:space="preserve"> = 0,599. При выявлении взаимосвязи между наибольшими приростами по циклам жизни древостоев с увеличением возраста деревьев достоверность аппроксимации </w:t>
      </w:r>
      <w:r w:rsidRPr="008510F3">
        <w:rPr>
          <w:rFonts w:ascii="Times New Roman" w:hAnsi="Times New Roman"/>
          <w:sz w:val="24"/>
          <w:szCs w:val="24"/>
          <w:lang w:val="en-US"/>
        </w:rPr>
        <w:t>R</w:t>
      </w:r>
      <w:r w:rsidRPr="008510F3">
        <w:rPr>
          <w:rFonts w:ascii="Times New Roman" w:hAnsi="Times New Roman"/>
          <w:sz w:val="24"/>
          <w:szCs w:val="24"/>
          <w:vertAlign w:val="superscript"/>
        </w:rPr>
        <w:t xml:space="preserve">2 </w:t>
      </w:r>
      <w:r w:rsidRPr="008510F3">
        <w:rPr>
          <w:rFonts w:ascii="Times New Roman" w:hAnsi="Times New Roman"/>
          <w:sz w:val="24"/>
          <w:szCs w:val="24"/>
        </w:rPr>
        <w:t xml:space="preserve">достигает 0,891, в то время как в более молодом возрасте она изменяется от 0,365 до 0,429. В ГЛПР «Семей орманы» проведение рубок ухода значительно повлияло на ход роста насаждения. Получены уравнения аппроксимации до и после проведения рубок ухода, причем коэффициент достоверности достаточно высок – </w:t>
      </w:r>
      <w:r w:rsidRPr="008510F3">
        <w:rPr>
          <w:rFonts w:ascii="Times New Roman" w:hAnsi="Times New Roman"/>
          <w:sz w:val="24"/>
          <w:szCs w:val="24"/>
          <w:lang w:val="en-US"/>
        </w:rPr>
        <w:t>R</w:t>
      </w:r>
      <w:r w:rsidRPr="008510F3">
        <w:rPr>
          <w:rFonts w:ascii="Times New Roman" w:hAnsi="Times New Roman"/>
          <w:sz w:val="24"/>
          <w:szCs w:val="24"/>
          <w:vertAlign w:val="superscript"/>
        </w:rPr>
        <w:t xml:space="preserve">2 </w:t>
      </w:r>
      <w:r w:rsidRPr="008510F3">
        <w:rPr>
          <w:rFonts w:ascii="Times New Roman" w:hAnsi="Times New Roman"/>
          <w:sz w:val="24"/>
          <w:szCs w:val="24"/>
        </w:rPr>
        <w:t>= 0,8347-0,873.</w:t>
      </w:r>
    </w:p>
    <w:p w:rsidR="00C21DA4" w:rsidRPr="008510F3" w:rsidRDefault="00C21DA4" w:rsidP="00C21DA4">
      <w:pPr>
        <w:spacing w:after="0" w:line="360" w:lineRule="auto"/>
        <w:ind w:firstLine="567"/>
        <w:jc w:val="both"/>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bCs/>
          <w:sz w:val="24"/>
          <w:szCs w:val="24"/>
        </w:rPr>
      </w:pPr>
      <w:r w:rsidRPr="008510F3">
        <w:rPr>
          <w:rFonts w:ascii="Times New Roman" w:eastAsia="Times New Roman" w:hAnsi="Times New Roman"/>
          <w:bCs/>
          <w:sz w:val="24"/>
          <w:szCs w:val="24"/>
          <w:lang w:val="kk-KZ" w:eastAsia="ar-SA"/>
        </w:rPr>
        <w:t>1.3 Лесохозяйственные мероприятия, направленные на повышение биологической устойчивости и защитных функций сосновых боров Казахстана</w:t>
      </w:r>
    </w:p>
    <w:p w:rsidR="00C21DA4" w:rsidRPr="008510F3" w:rsidRDefault="00C21DA4" w:rsidP="00C21DA4">
      <w:pPr>
        <w:spacing w:after="0" w:line="360" w:lineRule="auto"/>
        <w:ind w:firstLine="567"/>
        <w:rPr>
          <w:rFonts w:ascii="Times New Roman" w:hAnsi="Times New Roman"/>
          <w:bCs/>
          <w:sz w:val="24"/>
          <w:szCs w:val="24"/>
        </w:rPr>
      </w:pPr>
    </w:p>
    <w:p w:rsidR="00C21DA4" w:rsidRPr="008510F3" w:rsidRDefault="00C21DA4" w:rsidP="00C21DA4">
      <w:pPr>
        <w:spacing w:after="0" w:line="360" w:lineRule="auto"/>
        <w:ind w:firstLine="567"/>
        <w:rPr>
          <w:rFonts w:ascii="Times New Roman" w:hAnsi="Times New Roman"/>
          <w:bCs/>
          <w:sz w:val="24"/>
          <w:szCs w:val="24"/>
        </w:rPr>
      </w:pPr>
      <w:r w:rsidRPr="008510F3">
        <w:rPr>
          <w:rFonts w:ascii="Times New Roman" w:hAnsi="Times New Roman"/>
          <w:bCs/>
          <w:sz w:val="24"/>
          <w:szCs w:val="24"/>
        </w:rPr>
        <w:t xml:space="preserve">1.3.1 Проведение рубок ухода в сосновых насаждениях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ab/>
        <w:t>Г. Ф. Морозов считал, что рубка леса и его возобновление - синонимы. В этой формуле четко отражена главная идея - необходимость сбалансированности лесопользования и лесовосстановления. Однако она не означает ни технологического, ни организационного единства этих процессов, так как лесопользование является следствием потребности в лесных ресурсах и результатом человеческого труда, тогда как восстановление лесов - естественное природное свойство лесов. Труд человека не всегда обязателен для процесса лесовосстановления и лишь в малой степени преобразует его в интересах интенсификации удовлетворения потребности в лесных ресурсах.</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Понимая интенсификацию лесного хозяйства как систему мероприятий, связанных с вложением в лесной фонд труда и средств, важно учитывать экономичность и эффективность проводимых работ. Лесохозяйственные работы следует планировать и проводить в объемах, обеспечивающих расширенное воспроизводство лесных ресурсов, поддержание и усиление устойчивости лесных </w:t>
      </w:r>
      <w:proofErr w:type="gramStart"/>
      <w:r w:rsidRPr="008510F3">
        <w:rPr>
          <w:rFonts w:ascii="Times New Roman" w:hAnsi="Times New Roman"/>
          <w:sz w:val="24"/>
          <w:szCs w:val="24"/>
        </w:rPr>
        <w:t>экосистем</w:t>
      </w:r>
      <w:proofErr w:type="gramEnd"/>
      <w:r w:rsidRPr="008510F3">
        <w:rPr>
          <w:rFonts w:ascii="Times New Roman" w:hAnsi="Times New Roman"/>
          <w:sz w:val="24"/>
          <w:szCs w:val="24"/>
        </w:rPr>
        <w:t xml:space="preserve"> и выполнение многообразных полезных функций.</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Рубки ухода и санитарные рубки нужно проводить по принципу необходимости, полезности и самоокупаемости, в объемах, обеспечивающих сбытом древесины, при обязательном соблюдении лесоводственных и экологических требований. Работы выполнять машинами и механизмами по технологиям, обеспечивающим максимальное сохранение лесной среды.</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Рубки </w:t>
      </w:r>
      <w:proofErr w:type="gramStart"/>
      <w:r w:rsidRPr="008510F3">
        <w:rPr>
          <w:rFonts w:ascii="Times New Roman" w:hAnsi="Times New Roman"/>
          <w:sz w:val="24"/>
          <w:szCs w:val="24"/>
        </w:rPr>
        <w:t>ухода</w:t>
      </w:r>
      <w:proofErr w:type="gramEnd"/>
      <w:r w:rsidRPr="008510F3">
        <w:rPr>
          <w:rFonts w:ascii="Times New Roman" w:hAnsi="Times New Roman"/>
          <w:sz w:val="24"/>
          <w:szCs w:val="24"/>
        </w:rPr>
        <w:t xml:space="preserve"> прежде всего направлены на повышение продуктивности и биологической устойчивости насаждений. Следует учесть, что древесина, получаемая в ходе РУ, не является результатом их проведения.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В лесах ООПТ проводятся все виды ухода за лесом, кроме заповедных зон ГНПП, заповедников, заповедных лесных участках. При необходимости (прохождение лесных пожаров, заселенность вредителями и болезнями и пр.) выполняются выборочные или сплошные санитарные рубки.</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Для чистых сосновых насаждений Северного и Восточного региона Казахстана рекомендуется низовой метод рубок ухода, при котором выбираются отстающие в росте, с видимыми признаками заболеваний и повреждений вредителями, для лесов ООПТ в это число входят также деревья с искривленными стволами, с низкой декоративностью. Кроме того, убираются высокорастущие деревья, мешающие росту других перспективных деревьев. Принцип отбора лучших деревьев при проведении РУ в защитных лесах, а </w:t>
      </w:r>
      <w:r w:rsidRPr="008510F3">
        <w:rPr>
          <w:rFonts w:ascii="Times New Roman" w:hAnsi="Times New Roman"/>
          <w:sz w:val="24"/>
          <w:szCs w:val="24"/>
        </w:rPr>
        <w:lastRenderedPageBreak/>
        <w:t>особенно в лесах особо охраняемых природных территорий, состоит в том, чтобы оставить для дальнейшего произрастания деревья, наиболее устойчивые к рекреационным нагрузкам.</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В смешанных насаждениях возможно применение верхового метода, который заключается в выборке крупных деревьев, мешающих росту лучших деревьев.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Рубки ухода в естественных лесах планируются по нескольким вариантам:</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 </w:t>
      </w:r>
      <w:proofErr w:type="gramStart"/>
      <w:r w:rsidRPr="008510F3">
        <w:rPr>
          <w:rFonts w:ascii="Times New Roman" w:hAnsi="Times New Roman"/>
          <w:sz w:val="24"/>
          <w:szCs w:val="24"/>
        </w:rPr>
        <w:t>равномерное</w:t>
      </w:r>
      <w:proofErr w:type="gramEnd"/>
      <w:r w:rsidRPr="008510F3">
        <w:rPr>
          <w:rFonts w:ascii="Times New Roman" w:hAnsi="Times New Roman"/>
          <w:sz w:val="24"/>
          <w:szCs w:val="24"/>
        </w:rPr>
        <w:t xml:space="preserve"> изреживание деревьев по всему участку;</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изреживание куртинами;</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изреживание полосами.</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Изреживание куртинами проводится в насаждениях, расположенных группами (куртинами). Полосной способ применяется в смешанных насаждениях, когда второстепенная порода, чаще всего лиственная, находится в первом ярусе.</w:t>
      </w:r>
    </w:p>
    <w:p w:rsidR="00C21DA4" w:rsidRPr="008510F3" w:rsidRDefault="00C21DA4" w:rsidP="00C21DA4">
      <w:pPr>
        <w:spacing w:after="0" w:line="360" w:lineRule="auto"/>
        <w:ind w:firstLine="567"/>
        <w:jc w:val="both"/>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bCs/>
          <w:sz w:val="24"/>
          <w:szCs w:val="24"/>
        </w:rPr>
        <w:t>1.3.1.1Рубки ухода в лесных культурах</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В чистых сплошных лесных культурах сосны обыкновенной проводится линейно-селективные рубки ухода. Сначала вырубается каждый 4-5-й ряд, затем в рядах выполняется рубка деревьев по низовому способу.</w:t>
      </w:r>
    </w:p>
    <w:p w:rsidR="00C21DA4" w:rsidRPr="008510F3" w:rsidRDefault="00C21DA4" w:rsidP="00C21DA4">
      <w:pPr>
        <w:spacing w:after="0" w:line="360" w:lineRule="auto"/>
        <w:ind w:firstLine="400"/>
        <w:jc w:val="both"/>
        <w:rPr>
          <w:rFonts w:ascii="Times New Roman" w:hAnsi="Times New Roman"/>
          <w:color w:val="000000"/>
          <w:sz w:val="24"/>
          <w:szCs w:val="24"/>
        </w:rPr>
      </w:pPr>
      <w:r w:rsidRPr="008510F3">
        <w:rPr>
          <w:rFonts w:ascii="Times New Roman" w:hAnsi="Times New Roman"/>
          <w:color w:val="000000"/>
          <w:sz w:val="24"/>
          <w:szCs w:val="24"/>
        </w:rPr>
        <w:t xml:space="preserve">При рубках ухода в кулисных культурах вырубаются отмирающие, отстающие в росте, больные растения. Изреживание проводится равномерно, без образования «окон», в опушечных рядах уборка растений минимальна. При высокой приживаемости растений на участке осветление проводится более интенсивно, чем на участках с более низкой приживаемостью. </w:t>
      </w:r>
    </w:p>
    <w:p w:rsidR="00C21DA4" w:rsidRPr="008510F3" w:rsidRDefault="00C21DA4" w:rsidP="00C21DA4">
      <w:pPr>
        <w:spacing w:after="0" w:line="360" w:lineRule="auto"/>
        <w:ind w:firstLine="400"/>
        <w:jc w:val="both"/>
        <w:rPr>
          <w:rFonts w:ascii="Times New Roman" w:hAnsi="Times New Roman"/>
          <w:color w:val="000000"/>
          <w:sz w:val="24"/>
          <w:szCs w:val="24"/>
        </w:rPr>
      </w:pPr>
      <w:r w:rsidRPr="008510F3">
        <w:rPr>
          <w:rFonts w:ascii="Times New Roman" w:hAnsi="Times New Roman"/>
          <w:color w:val="000000"/>
          <w:sz w:val="24"/>
          <w:szCs w:val="24"/>
        </w:rPr>
        <w:t xml:space="preserve">При прореживании выбирают и оставляют лучшие деревья, при этом их размещение должно быть равномерным. </w:t>
      </w:r>
    </w:p>
    <w:p w:rsidR="00C21DA4" w:rsidRPr="008510F3" w:rsidRDefault="00C21DA4" w:rsidP="00C21DA4">
      <w:pPr>
        <w:spacing w:after="0" w:line="360" w:lineRule="auto"/>
        <w:ind w:firstLine="400"/>
        <w:jc w:val="both"/>
        <w:rPr>
          <w:rFonts w:ascii="Times New Roman" w:hAnsi="Times New Roman"/>
          <w:color w:val="000000"/>
          <w:sz w:val="24"/>
          <w:szCs w:val="24"/>
        </w:rPr>
      </w:pPr>
      <w:r w:rsidRPr="008510F3">
        <w:rPr>
          <w:rFonts w:ascii="Times New Roman" w:hAnsi="Times New Roman"/>
          <w:color w:val="000000"/>
          <w:sz w:val="24"/>
          <w:szCs w:val="24"/>
        </w:rPr>
        <w:t xml:space="preserve">В чистых хвойных культурах осветления не проводятся, прочистки делают в возрасте 11-20 лет с интенсивностью 15-25%, прореживания начинают во втором классе возраста с интенсивностью 20-30%, проходные – в третьем классе возраста с интенсивностью 20-30%. Проходные рубки проводятся только в высокополнотных чистых сосновых насаждениях. В тех насаждениях, где запрещены рубки главного пользования, при проведении последующих приемов проходных рубок убирают деревья, мешающие росту подроста сосны. </w:t>
      </w:r>
      <w:r w:rsidRPr="008510F3">
        <w:rPr>
          <w:rFonts w:ascii="Times New Roman" w:hAnsi="Times New Roman"/>
          <w:sz w:val="24"/>
          <w:szCs w:val="24"/>
        </w:rPr>
        <w:t>Для повышения продуктивности сосняков искусственного происхождения желательно одновременно с прореживанием и проходной рубкой вносить азотные удобрения до середины периода вегетации в количестве 90-100 кг/га</w:t>
      </w:r>
      <w:r w:rsidRPr="008510F3">
        <w:rPr>
          <w:rFonts w:ascii="Times New Roman" w:hAnsi="Times New Roman"/>
          <w:color w:val="000000"/>
          <w:sz w:val="24"/>
          <w:szCs w:val="24"/>
        </w:rPr>
        <w:t>.</w:t>
      </w:r>
    </w:p>
    <w:p w:rsidR="00C21DA4" w:rsidRPr="008510F3" w:rsidRDefault="00C21DA4" w:rsidP="00C21DA4">
      <w:pPr>
        <w:spacing w:after="0" w:line="360" w:lineRule="auto"/>
        <w:ind w:firstLine="400"/>
        <w:jc w:val="both"/>
        <w:rPr>
          <w:rFonts w:ascii="Times New Roman" w:hAnsi="Times New Roman"/>
          <w:color w:val="000000"/>
          <w:sz w:val="24"/>
          <w:szCs w:val="24"/>
        </w:rPr>
      </w:pP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bCs/>
          <w:sz w:val="24"/>
          <w:szCs w:val="24"/>
        </w:rPr>
        <w:lastRenderedPageBreak/>
        <w:t>1.3.1.2 Рубки ухода в естественных насаждениях</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 В зависимости от условий местопроизрастания и типа леса возраст деревьев, в котором проводятся РУ, их интенсивность и вид различны.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Для сухих условий ленточных боров (ГЛПР «Семей орманы») и Северного Казахстана можно рекомендовать проведение прочисток в возрасте 15-20 лет с интенсивностью ухода до 25-40% по числу стволов.</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Проходные рубки могут выполняться в возрасте до 60 лет с интенсивностью 30-50% по числу стволов.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Проходные рубки проводятся до 80-летнего возраста с интенсивностью до 35% по числу стволов.</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Следует отметить, что рубки следует начинать при полноте не менее 0,7 при прочистках, не менее 0,8 – при прореживании и 0,9 – при проходных рубках. После проведения рубок полнота насаждений должна снизиться соответственно на 0,1.</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Для сосняков ГНПП «Бурабай», расположенных на нижних частях склонов, рекомендуется начинать прочистки раньше, по достижению насаждений возраста 11-20 лет с интенсивностью ухода 25-30% по числу стволов. Дальнейшие виды рубок проводятся в том же возрасте и интенсивностью, как и в ГЛПР «Семей орманы».</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Повторяемость рубок ухода составляет 10-15 лет. При более частой повторяемости рубок ухода интенсивность их должна быть меньше.</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Окончание рубок ухода приходится на возраст насаждений за 10-15 лет до проведения лесовосстановительных рубок.</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Следует отметить, что в насаждениях с оптимальной полнотой проведение рубок ухода нецелесообразно, их назначают только в загущенных древостоях.</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В лесах защитной категории могут проводиться выборочные санитарные рубки, причем необходимо отбирать в рубку деревья, с недавними повреждениями вредителями или болезнями (свежезаселенные). Сплошные санитарные рубки должны назначаться обоснованно, чтобы не увеличивать площади редкостойных лесов. Такие рубки проводятся в лесах, утративших биологическую устойчивость вследствие повреждения вредителями и болезными, а также после прохождения лесных пожаров.</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Выбор технологии проведения рубок ухода должен быть обоснован на основе состояния конкретного насаждения, не влиять на средообразующие факторы и быть безопасной для лесорубов. </w:t>
      </w:r>
    </w:p>
    <w:p w:rsidR="00C21DA4" w:rsidRPr="008510F3" w:rsidRDefault="00C21DA4" w:rsidP="00C21DA4">
      <w:pPr>
        <w:spacing w:after="0" w:line="360" w:lineRule="auto"/>
        <w:ind w:firstLine="567"/>
        <w:jc w:val="both"/>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bCs/>
          <w:sz w:val="24"/>
          <w:szCs w:val="24"/>
        </w:rPr>
      </w:pPr>
      <w:r w:rsidRPr="008510F3">
        <w:rPr>
          <w:rFonts w:ascii="Times New Roman" w:hAnsi="Times New Roman"/>
          <w:b/>
          <w:bCs/>
          <w:sz w:val="24"/>
          <w:szCs w:val="24"/>
        </w:rPr>
        <w:t>1</w:t>
      </w:r>
      <w:r w:rsidRPr="008510F3">
        <w:rPr>
          <w:rFonts w:ascii="Times New Roman" w:hAnsi="Times New Roman"/>
          <w:bCs/>
          <w:sz w:val="24"/>
          <w:szCs w:val="24"/>
        </w:rPr>
        <w:t>.3.2 Содействие естественному возобновлению в сосновых лесах</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lastRenderedPageBreak/>
        <w:t xml:space="preserve">Одной из важных мер по сохранению лесов без смены пород и сохранению генофонда защитной категории лесов Казахстана является содействие естественному возобновлению. Во многих древостоях наблюдается очень мало подроста, особенно в сухих условиях местопроизрастания. Трелевка срубленных деревьев при проведении рубок ухода способствует минерализации почвы и прорастанию семян, </w:t>
      </w:r>
      <w:proofErr w:type="gramStart"/>
      <w:r w:rsidRPr="008510F3">
        <w:rPr>
          <w:rFonts w:ascii="Times New Roman" w:hAnsi="Times New Roman"/>
          <w:sz w:val="24"/>
          <w:szCs w:val="24"/>
        </w:rPr>
        <w:t>а</w:t>
      </w:r>
      <w:proofErr w:type="gramEnd"/>
      <w:r w:rsidRPr="008510F3">
        <w:rPr>
          <w:rFonts w:ascii="Times New Roman" w:hAnsi="Times New Roman"/>
          <w:sz w:val="24"/>
          <w:szCs w:val="24"/>
        </w:rPr>
        <w:t xml:space="preserve"> следовательно, появлению подроста. Но это происходит не всегда, поэтому одной из систем лесоводственных мероприятий для повышения продуктивности и устойчивости лесов необходимо проводить содействие естественному подросту:</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сохранение и уход за подростом сосны обыкновенной после проведения рубок ухода;</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 - минерализация почвы;</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оставление обсеменителей после сплошных санитарных рубок;</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огораживание вырубок особо ценных в селекционном и генетическом плане сосняков с имеющимися обсеменителями и появившимся подростом.</w:t>
      </w:r>
    </w:p>
    <w:p w:rsidR="00C21DA4" w:rsidRPr="008510F3" w:rsidRDefault="00C21DA4" w:rsidP="00C21DA4">
      <w:pPr>
        <w:spacing w:after="0" w:line="360" w:lineRule="auto"/>
        <w:ind w:firstLine="567"/>
        <w:jc w:val="both"/>
        <w:rPr>
          <w:rFonts w:ascii="Times New Roman" w:hAnsi="Times New Roman"/>
          <w:b/>
          <w:sz w:val="24"/>
          <w:szCs w:val="24"/>
        </w:rPr>
      </w:pP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1.3.2.1 Сохранение и уход за подростом</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С целью сохранения подроста на местах проведения рубок ухода, особенно проходных рубок, перед началом работ на участке размечают пасеки и волоки с тем условием, чтобы не повредить имеющийся подрост сосны. Для этого применяют различные способы выполнения лесосечных работ: узколесосечные пасеки, рубка на подкладочное дерево и др. Кроме того, хорошие результаты по сохранению подроста дает рубка деревьев в зимний период. Трелюют деревья только по заранее намеченным волокам, причем располагают волоки на достаточно большом расстоянии. Порубочные остатки и хворо</w:t>
      </w:r>
      <w:proofErr w:type="gramStart"/>
      <w:r w:rsidRPr="008510F3">
        <w:rPr>
          <w:rFonts w:ascii="Times New Roman" w:hAnsi="Times New Roman"/>
          <w:sz w:val="24"/>
          <w:szCs w:val="24"/>
        </w:rPr>
        <w:t>ст скл</w:t>
      </w:r>
      <w:proofErr w:type="gramEnd"/>
      <w:r w:rsidRPr="008510F3">
        <w:rPr>
          <w:rFonts w:ascii="Times New Roman" w:hAnsi="Times New Roman"/>
          <w:sz w:val="24"/>
          <w:szCs w:val="24"/>
        </w:rPr>
        <w:t xml:space="preserve">адывают в кучи не ближе, чем за 4-5 м от подроста и зимой сжигают.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Особо отмечают куртины подроста более 0,1 га и редины с естественным возобновлением более 3000 </w:t>
      </w:r>
      <w:proofErr w:type="gramStart"/>
      <w:r w:rsidRPr="008510F3">
        <w:rPr>
          <w:rFonts w:ascii="Times New Roman" w:hAnsi="Times New Roman"/>
          <w:sz w:val="24"/>
          <w:szCs w:val="24"/>
        </w:rPr>
        <w:t>шт</w:t>
      </w:r>
      <w:proofErr w:type="gramEnd"/>
      <w:r w:rsidRPr="008510F3">
        <w:rPr>
          <w:rFonts w:ascii="Times New Roman" w:hAnsi="Times New Roman"/>
          <w:sz w:val="24"/>
          <w:szCs w:val="24"/>
        </w:rPr>
        <w:t xml:space="preserve">/га. Если подрост расположен на участке равномерно и его количество более 3000 </w:t>
      </w:r>
      <w:proofErr w:type="gramStart"/>
      <w:r w:rsidRPr="008510F3">
        <w:rPr>
          <w:rFonts w:ascii="Times New Roman" w:hAnsi="Times New Roman"/>
          <w:sz w:val="24"/>
          <w:szCs w:val="24"/>
        </w:rPr>
        <w:t>шт</w:t>
      </w:r>
      <w:proofErr w:type="gramEnd"/>
      <w:r w:rsidRPr="008510F3">
        <w:rPr>
          <w:rFonts w:ascii="Times New Roman" w:hAnsi="Times New Roman"/>
          <w:sz w:val="24"/>
          <w:szCs w:val="24"/>
        </w:rPr>
        <w:t>/га, отмечают и проводят мероприятия по его сохранению. Вследствие сохранения максимального количества естественного подроста сокращается срок выращивания древостоев и не требуется проведения лесокультурных мероприятий.</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Уход за сосновым подростом на вырубках заключается в удалении возобновившихся лиственных пород, причем их удаляют вокруг куртин молодых деревьев хвойных пород. Если подрост сосны обыкновенной на вырубке распределен равномерно и его число достигает более 5000 </w:t>
      </w:r>
      <w:proofErr w:type="gramStart"/>
      <w:r w:rsidRPr="008510F3">
        <w:rPr>
          <w:rFonts w:ascii="Times New Roman" w:hAnsi="Times New Roman"/>
          <w:sz w:val="24"/>
          <w:szCs w:val="24"/>
        </w:rPr>
        <w:t>шт</w:t>
      </w:r>
      <w:proofErr w:type="gramEnd"/>
      <w:r w:rsidRPr="008510F3">
        <w:rPr>
          <w:rFonts w:ascii="Times New Roman" w:hAnsi="Times New Roman"/>
          <w:sz w:val="24"/>
          <w:szCs w:val="24"/>
        </w:rPr>
        <w:t xml:space="preserve">/га, то вырубку нежелательных лиственных пород проводят </w:t>
      </w:r>
      <w:r w:rsidRPr="008510F3">
        <w:rPr>
          <w:rFonts w:ascii="Times New Roman" w:hAnsi="Times New Roman"/>
          <w:sz w:val="24"/>
          <w:szCs w:val="24"/>
        </w:rPr>
        <w:lastRenderedPageBreak/>
        <w:t xml:space="preserve">коридорным способом. Ширина коридора 2 м, а расстояние между ними зависит от числа подроста. При числе подроста сосны от 5 до 10 тыс. </w:t>
      </w:r>
      <w:proofErr w:type="gramStart"/>
      <w:r w:rsidRPr="008510F3">
        <w:rPr>
          <w:rFonts w:ascii="Times New Roman" w:hAnsi="Times New Roman"/>
          <w:sz w:val="24"/>
          <w:szCs w:val="24"/>
        </w:rPr>
        <w:t>шт</w:t>
      </w:r>
      <w:proofErr w:type="gramEnd"/>
      <w:r w:rsidRPr="008510F3">
        <w:rPr>
          <w:rFonts w:ascii="Times New Roman" w:hAnsi="Times New Roman"/>
          <w:sz w:val="24"/>
          <w:szCs w:val="24"/>
        </w:rPr>
        <w:t xml:space="preserve">/га ширина между коридорами составляет 2 м, более 10 тыс. шт/га – 4 м. В коридорах убирают лиственные породы и сорные растения. </w:t>
      </w:r>
    </w:p>
    <w:p w:rsidR="00C21DA4" w:rsidRPr="008510F3" w:rsidRDefault="00C21DA4" w:rsidP="00C21DA4">
      <w:pPr>
        <w:spacing w:after="0" w:line="360" w:lineRule="auto"/>
        <w:ind w:firstLine="567"/>
        <w:jc w:val="both"/>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bCs/>
          <w:sz w:val="24"/>
          <w:szCs w:val="24"/>
        </w:rPr>
      </w:pPr>
      <w:r w:rsidRPr="008510F3">
        <w:rPr>
          <w:rFonts w:ascii="Times New Roman" w:hAnsi="Times New Roman"/>
          <w:sz w:val="24"/>
          <w:szCs w:val="24"/>
        </w:rPr>
        <w:t>1.3.2.2 Минерализация почвы</w:t>
      </w:r>
      <w:r w:rsidRPr="008510F3">
        <w:rPr>
          <w:rFonts w:ascii="Times New Roman" w:hAnsi="Times New Roman"/>
          <w:b/>
          <w:sz w:val="24"/>
          <w:szCs w:val="24"/>
        </w:rPr>
        <w:t xml:space="preserve">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bCs/>
          <w:sz w:val="24"/>
          <w:szCs w:val="24"/>
        </w:rPr>
        <w:t xml:space="preserve">Подразделяется на </w:t>
      </w:r>
      <w:r w:rsidRPr="008510F3">
        <w:rPr>
          <w:rFonts w:ascii="Times New Roman" w:hAnsi="Times New Roman"/>
          <w:sz w:val="24"/>
          <w:szCs w:val="24"/>
        </w:rPr>
        <w:t>механическую, химическую и термическую обработку почвы. Для минерализации почвы механическим способом можно выполнять бульдозерные площадки или плужные борозды различной ширины. Для создания плужных борозд плугом с отвалом проходят по площади один-два раза, для бульдозерных площадок собирают подстилку ковшом бульдозера. Длина плужных борозд произвольная, насколько позволяет расположение деревьев на местности, ширина составляет от 0,70 до 1,5 м в зависимости от ширины плуга. Размеры бульдозерных площадок произвольные, ширина их зависит от ширины ковша бульдозера, длина – в зависимости от расположения деревьев. Содействие естественному возобновлению проводится в «окнах»</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Согласно ранее проведенным исследованиям, выполнение бульдозерных площадок более рационально, т.к. они не так быстро затягиваются травой, как плужные борозды. Кроме того, площадки имеют большую минерализованную площадь, на которую попадают семена.</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Мероприятия по содействию естественному возобновлению проводятся накануне года обильного плодоношения, в конце лета или осенью. В случае необходимости (при недостаточном плодоношении) на минерализованные площадки подсеиваются семена сосны обыкновенной.</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Глубина бульдозерной площадки должна быть такой, чтобы снять только мертвый покров (подстилку) и не повредить корни растущих деревьев. Расположение площадки должно быть направлено по преобладающему направлению ветра, чтобы семена не разлетались, а скапливались на минерализованной почве.</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Химическая минерализация почвы заключается в обработке сорных растений гербицидами. Следует отметить, что после данной обработки необходимо провести рыхление почвы.</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Термическая (огневая) минерализация почвы проводится только на сплошных вырубках.</w:t>
      </w:r>
    </w:p>
    <w:p w:rsidR="00C21DA4" w:rsidRPr="008510F3" w:rsidRDefault="00C21DA4" w:rsidP="00C21DA4">
      <w:pPr>
        <w:spacing w:after="0" w:line="360" w:lineRule="auto"/>
        <w:ind w:firstLine="567"/>
        <w:jc w:val="both"/>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1.3.2.3 Оставление обсеменителей </w:t>
      </w:r>
      <w:r w:rsidRPr="008510F3">
        <w:rPr>
          <w:rFonts w:ascii="Times New Roman" w:hAnsi="Times New Roman"/>
          <w:bCs/>
          <w:sz w:val="24"/>
          <w:szCs w:val="24"/>
        </w:rPr>
        <w:t>после сплошных санитарных рубок</w:t>
      </w:r>
      <w:r w:rsidRPr="008510F3">
        <w:rPr>
          <w:rFonts w:ascii="Times New Roman" w:hAnsi="Times New Roman"/>
          <w:sz w:val="24"/>
          <w:szCs w:val="24"/>
        </w:rPr>
        <w:t xml:space="preserve">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lastRenderedPageBreak/>
        <w:t xml:space="preserve">Важной задачей при проведении любых видов рубок, особенно сплошных санитарных, является оставление обсеменителей. Зачастую на горельниках высаживают лесные культуры, выращенные из семян низкой селекционной категории. Поэтому наличие наиболее </w:t>
      </w:r>
      <w:proofErr w:type="gramStart"/>
      <w:r w:rsidRPr="008510F3">
        <w:rPr>
          <w:rFonts w:ascii="Times New Roman" w:hAnsi="Times New Roman"/>
          <w:sz w:val="24"/>
          <w:szCs w:val="24"/>
        </w:rPr>
        <w:t>хороших</w:t>
      </w:r>
      <w:proofErr w:type="gramEnd"/>
      <w:r w:rsidRPr="008510F3">
        <w:rPr>
          <w:rFonts w:ascii="Times New Roman" w:hAnsi="Times New Roman"/>
          <w:sz w:val="24"/>
          <w:szCs w:val="24"/>
        </w:rPr>
        <w:t xml:space="preserve"> по фенологическим признакам обсеменителей на вырубке необходимо. Их число должно составлять не менее 15 </w:t>
      </w:r>
      <w:proofErr w:type="gramStart"/>
      <w:r w:rsidRPr="008510F3">
        <w:rPr>
          <w:rFonts w:ascii="Times New Roman" w:hAnsi="Times New Roman"/>
          <w:sz w:val="24"/>
          <w:szCs w:val="24"/>
        </w:rPr>
        <w:t>шт</w:t>
      </w:r>
      <w:proofErr w:type="gramEnd"/>
      <w:r w:rsidRPr="008510F3">
        <w:rPr>
          <w:rFonts w:ascii="Times New Roman" w:hAnsi="Times New Roman"/>
          <w:sz w:val="24"/>
          <w:szCs w:val="24"/>
        </w:rPr>
        <w:t>/га, семенных групп – не менее 5-10 шт/га. По возможности оставляют семенные куртины площадью 0,1-0,5 га.</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На старых задернелых вырубках создаются дополнительные меры по содействию появлению подроста – минерализация почвы.</w:t>
      </w:r>
    </w:p>
    <w:p w:rsidR="00C21DA4" w:rsidRPr="008510F3" w:rsidRDefault="00C21DA4" w:rsidP="00C21DA4">
      <w:pPr>
        <w:spacing w:after="0" w:line="360" w:lineRule="auto"/>
        <w:ind w:firstLine="567"/>
        <w:jc w:val="both"/>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bCs/>
          <w:sz w:val="24"/>
          <w:szCs w:val="24"/>
        </w:rPr>
      </w:pPr>
      <w:r w:rsidRPr="008510F3">
        <w:rPr>
          <w:rFonts w:ascii="Times New Roman" w:hAnsi="Times New Roman"/>
          <w:bCs/>
          <w:sz w:val="24"/>
          <w:szCs w:val="24"/>
        </w:rPr>
        <w:t>1.4 Выбор лесохозяйственных мероприятий в зависимости от величины солнечной активности</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Общеизвестно, что на величину, скорость роста деревьев и состояние насаждений влияют природно-климатические факторы, в том числе солнечная активность. Для определения черт единства в приросте в естественных и искусственных насаждениях, произрастающих в различных условиях, был проведен анализ совпадения индексов прироста больше и меньше нормы (100%), а также по критерию жесткости (больше 110 и меньше 90%). </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Из таблицы 1 видно, что наибольшее количество лет, характеризующееся индексами прироста как более 100%, так и менее 100%, для всех исследуемых насаждений наблюдалось на ветви спада СА. Причем, лет с максимальными индексами приростов на ветви спада было от 35,71 до 57,14%, а с минимальными – от 30,0 до 42,31%. Годы с минимальными индексами прироста встречаются чаще (50,0-54,7%), чем с максимальными приростами (44,7-50,0%). Колебания индексных значений в насаждениях ГЛПР «Семей орманы» более разнообразно по сравнению с приростом сосны в ГНПП «Бурабай».</w:t>
      </w:r>
    </w:p>
    <w:p w:rsidR="00C21DA4" w:rsidRPr="008510F3" w:rsidRDefault="00C21DA4" w:rsidP="00C21DA4">
      <w:pPr>
        <w:spacing w:after="0" w:line="360" w:lineRule="auto"/>
        <w:rPr>
          <w:rFonts w:ascii="Times New Roman" w:hAnsi="Times New Roman"/>
          <w:sz w:val="24"/>
          <w:szCs w:val="24"/>
        </w:rPr>
      </w:pPr>
    </w:p>
    <w:p w:rsidR="00C21DA4" w:rsidRPr="008510F3" w:rsidRDefault="00C21DA4" w:rsidP="00C21DA4">
      <w:pPr>
        <w:spacing w:after="0" w:line="360" w:lineRule="auto"/>
        <w:rPr>
          <w:rFonts w:ascii="Times New Roman" w:hAnsi="Times New Roman"/>
          <w:sz w:val="24"/>
          <w:szCs w:val="24"/>
        </w:rPr>
      </w:pPr>
      <w:r w:rsidRPr="008510F3">
        <w:rPr>
          <w:rFonts w:ascii="Times New Roman" w:hAnsi="Times New Roman"/>
          <w:sz w:val="24"/>
          <w:szCs w:val="24"/>
        </w:rPr>
        <w:t>Таблица 1 – Количество лет</w:t>
      </w:r>
      <w:proofErr w:type="gramStart"/>
      <w:r w:rsidRPr="008510F3">
        <w:rPr>
          <w:rFonts w:ascii="Times New Roman" w:hAnsi="Times New Roman"/>
          <w:sz w:val="24"/>
          <w:szCs w:val="24"/>
        </w:rPr>
        <w:t xml:space="preserve"> (%) </w:t>
      </w:r>
      <w:proofErr w:type="gramEnd"/>
      <w:r w:rsidRPr="008510F3">
        <w:rPr>
          <w:rFonts w:ascii="Times New Roman" w:hAnsi="Times New Roman"/>
          <w:sz w:val="24"/>
          <w:szCs w:val="24"/>
        </w:rPr>
        <w:t>с максимальными и минимальными индексами приростов</w:t>
      </w:r>
    </w:p>
    <w:tbl>
      <w:tblPr>
        <w:tblW w:w="94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817"/>
        <w:gridCol w:w="1032"/>
        <w:gridCol w:w="1032"/>
        <w:gridCol w:w="960"/>
        <w:gridCol w:w="960"/>
        <w:gridCol w:w="960"/>
        <w:gridCol w:w="960"/>
        <w:gridCol w:w="960"/>
      </w:tblGrid>
      <w:tr w:rsidR="00C21DA4" w:rsidRPr="008510F3" w:rsidTr="007E70A7">
        <w:trPr>
          <w:trHeight w:val="290"/>
        </w:trPr>
        <w:tc>
          <w:tcPr>
            <w:tcW w:w="1754" w:type="dxa"/>
            <w:vMerge w:val="restart"/>
            <w:shd w:val="clear" w:color="auto" w:fill="auto"/>
            <w:noWrap/>
            <w:vAlign w:val="center"/>
            <w:hideMark/>
          </w:tcPr>
          <w:p w:rsidR="00C21DA4" w:rsidRPr="008510F3" w:rsidRDefault="00C21DA4" w:rsidP="007E70A7">
            <w:pPr>
              <w:spacing w:after="0" w:line="360" w:lineRule="auto"/>
              <w:jc w:val="center"/>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Наименование</w:t>
            </w:r>
          </w:p>
        </w:tc>
        <w:tc>
          <w:tcPr>
            <w:tcW w:w="3841" w:type="dxa"/>
            <w:gridSpan w:val="4"/>
            <w:shd w:val="clear" w:color="auto" w:fill="auto"/>
            <w:noWrap/>
            <w:vAlign w:val="bottom"/>
            <w:hideMark/>
          </w:tcPr>
          <w:p w:rsidR="00C21DA4" w:rsidRPr="008510F3" w:rsidRDefault="00C21DA4" w:rsidP="007E70A7">
            <w:pPr>
              <w:spacing w:after="0" w:line="360" w:lineRule="auto"/>
              <w:jc w:val="center"/>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Количество лет с максимальными  индексами приростов (больше 100%)</w:t>
            </w:r>
          </w:p>
        </w:tc>
        <w:tc>
          <w:tcPr>
            <w:tcW w:w="3840" w:type="dxa"/>
            <w:gridSpan w:val="4"/>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Количество лет с минимальными индексами приростов (меньше 100%)</w:t>
            </w:r>
          </w:p>
        </w:tc>
      </w:tr>
      <w:tr w:rsidR="00C21DA4" w:rsidRPr="008510F3" w:rsidTr="007E70A7">
        <w:trPr>
          <w:trHeight w:val="290"/>
        </w:trPr>
        <w:tc>
          <w:tcPr>
            <w:tcW w:w="1754" w:type="dxa"/>
            <w:vMerge/>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p>
        </w:tc>
        <w:tc>
          <w:tcPr>
            <w:tcW w:w="817"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СК</w:t>
            </w:r>
          </w:p>
        </w:tc>
        <w:tc>
          <w:tcPr>
            <w:tcW w:w="1032"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СЕ</w:t>
            </w:r>
          </w:p>
        </w:tc>
        <w:tc>
          <w:tcPr>
            <w:tcW w:w="1032"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БЕ</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БК</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СК</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СЕ</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БЕ</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БК</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рост</w:t>
            </w:r>
          </w:p>
        </w:tc>
        <w:tc>
          <w:tcPr>
            <w:tcW w:w="817"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5</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14,29</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28,57</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12,50</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30</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33,33</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19,23</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27,59</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спад</w:t>
            </w:r>
          </w:p>
        </w:tc>
        <w:tc>
          <w:tcPr>
            <w:tcW w:w="817"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55</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57,14</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35,71</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45,83</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30</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35,90</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42,31</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37,93</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lastRenderedPageBreak/>
              <w:t>макс</w:t>
            </w:r>
          </w:p>
        </w:tc>
        <w:tc>
          <w:tcPr>
            <w:tcW w:w="817"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30</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20,00</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21,43</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29,17</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30</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21,79</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32,69</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27,59</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мин</w:t>
            </w:r>
          </w:p>
        </w:tc>
        <w:tc>
          <w:tcPr>
            <w:tcW w:w="817"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10</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8,57</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14,29</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12,50</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10</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8,97</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5,77</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6,90</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p>
        </w:tc>
        <w:tc>
          <w:tcPr>
            <w:tcW w:w="3841" w:type="dxa"/>
            <w:gridSpan w:val="4"/>
            <w:shd w:val="clear" w:color="auto" w:fill="auto"/>
            <w:noWrap/>
            <w:vAlign w:val="bottom"/>
            <w:hideMark/>
          </w:tcPr>
          <w:p w:rsidR="00C21DA4" w:rsidRPr="008510F3" w:rsidRDefault="00C21DA4" w:rsidP="007E70A7">
            <w:pPr>
              <w:spacing w:after="0" w:line="360" w:lineRule="auto"/>
              <w:jc w:val="center"/>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Количество лет с максимальными  индексами приростов (больше 110%)</w:t>
            </w:r>
          </w:p>
        </w:tc>
        <w:tc>
          <w:tcPr>
            <w:tcW w:w="3840" w:type="dxa"/>
            <w:gridSpan w:val="4"/>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Количество лет с максимальными  индексами приростов (меньше 90%)</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p>
        </w:tc>
        <w:tc>
          <w:tcPr>
            <w:tcW w:w="817"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СК</w:t>
            </w:r>
          </w:p>
        </w:tc>
        <w:tc>
          <w:tcPr>
            <w:tcW w:w="1032"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СЕ</w:t>
            </w:r>
          </w:p>
        </w:tc>
        <w:tc>
          <w:tcPr>
            <w:tcW w:w="1032"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БЕ</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БК</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СК</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СЕ</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БЕ</w:t>
            </w:r>
          </w:p>
        </w:tc>
        <w:tc>
          <w:tcPr>
            <w:tcW w:w="960"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БК</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рост</w:t>
            </w:r>
          </w:p>
        </w:tc>
        <w:tc>
          <w:tcPr>
            <w:tcW w:w="817"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0</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16,67</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23,08</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18,18</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29,41</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30,91</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25,81</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35,00</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спад</w:t>
            </w:r>
          </w:p>
        </w:tc>
        <w:tc>
          <w:tcPr>
            <w:tcW w:w="817"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62,5</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57,41</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30,77</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63,64</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23,53</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34,55</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35,48</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30,00</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макс</w:t>
            </w:r>
          </w:p>
        </w:tc>
        <w:tc>
          <w:tcPr>
            <w:tcW w:w="817"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25</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18,52</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26,92</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18,18</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35,29</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21,82</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32,26</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b/>
                <w:bCs/>
                <w:color w:val="000000"/>
                <w:sz w:val="24"/>
                <w:szCs w:val="24"/>
                <w:lang w:eastAsia="ru-RU"/>
              </w:rPr>
            </w:pPr>
            <w:r w:rsidRPr="008510F3">
              <w:rPr>
                <w:rFonts w:ascii="Times New Roman" w:eastAsia="Times New Roman" w:hAnsi="Times New Roman"/>
                <w:b/>
                <w:bCs/>
                <w:color w:val="000000"/>
                <w:sz w:val="24"/>
                <w:szCs w:val="24"/>
                <w:lang w:eastAsia="ru-RU"/>
              </w:rPr>
              <w:t>35,00</w:t>
            </w:r>
          </w:p>
        </w:tc>
      </w:tr>
      <w:tr w:rsidR="00C21DA4" w:rsidRPr="008510F3" w:rsidTr="007E70A7">
        <w:trPr>
          <w:trHeight w:val="290"/>
        </w:trPr>
        <w:tc>
          <w:tcPr>
            <w:tcW w:w="1754" w:type="dxa"/>
            <w:shd w:val="clear" w:color="auto" w:fill="auto"/>
            <w:noWrap/>
            <w:vAlign w:val="bottom"/>
            <w:hideMark/>
          </w:tcPr>
          <w:p w:rsidR="00C21DA4" w:rsidRPr="008510F3" w:rsidRDefault="00C21DA4" w:rsidP="007E70A7">
            <w:pPr>
              <w:spacing w:after="0" w:line="360" w:lineRule="auto"/>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мин</w:t>
            </w:r>
          </w:p>
        </w:tc>
        <w:tc>
          <w:tcPr>
            <w:tcW w:w="817"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12,5</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7,41</w:t>
            </w:r>
          </w:p>
        </w:tc>
        <w:tc>
          <w:tcPr>
            <w:tcW w:w="1032"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19,23</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0,00</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11,76</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12,73</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6,45</w:t>
            </w:r>
          </w:p>
        </w:tc>
        <w:tc>
          <w:tcPr>
            <w:tcW w:w="960" w:type="dxa"/>
            <w:shd w:val="clear" w:color="auto" w:fill="auto"/>
            <w:noWrap/>
            <w:vAlign w:val="bottom"/>
            <w:hideMark/>
          </w:tcPr>
          <w:p w:rsidR="00C21DA4" w:rsidRPr="008510F3" w:rsidRDefault="00C21DA4" w:rsidP="007E70A7">
            <w:pPr>
              <w:spacing w:after="0" w:line="360" w:lineRule="auto"/>
              <w:jc w:val="right"/>
              <w:rPr>
                <w:rFonts w:ascii="Times New Roman" w:eastAsia="Times New Roman" w:hAnsi="Times New Roman"/>
                <w:color w:val="000000"/>
                <w:sz w:val="24"/>
                <w:szCs w:val="24"/>
                <w:lang w:eastAsia="ru-RU"/>
              </w:rPr>
            </w:pPr>
            <w:r w:rsidRPr="008510F3">
              <w:rPr>
                <w:rFonts w:ascii="Times New Roman" w:eastAsia="Times New Roman" w:hAnsi="Times New Roman"/>
                <w:color w:val="000000"/>
                <w:sz w:val="24"/>
                <w:szCs w:val="24"/>
                <w:lang w:eastAsia="ru-RU"/>
              </w:rPr>
              <w:t>0,00</w:t>
            </w:r>
          </w:p>
        </w:tc>
      </w:tr>
    </w:tbl>
    <w:p w:rsidR="00C21DA4" w:rsidRPr="008510F3" w:rsidRDefault="00C21DA4" w:rsidP="00C21DA4">
      <w:pPr>
        <w:spacing w:after="0" w:line="360" w:lineRule="auto"/>
        <w:jc w:val="both"/>
        <w:rPr>
          <w:rFonts w:ascii="Times New Roman" w:hAnsi="Times New Roman"/>
          <w:sz w:val="24"/>
          <w:szCs w:val="24"/>
        </w:rPr>
      </w:pPr>
      <w:r w:rsidRPr="008510F3">
        <w:rPr>
          <w:rFonts w:ascii="Times New Roman" w:hAnsi="Times New Roman"/>
          <w:sz w:val="24"/>
          <w:szCs w:val="24"/>
        </w:rPr>
        <w:t>Примечание: СК – лесные культуры ГЛПР «Семей орманы», СЕ – естественные насаждения ГЛПР «Семей орманы», Б</w:t>
      </w:r>
      <w:proofErr w:type="gramStart"/>
      <w:r w:rsidRPr="008510F3">
        <w:rPr>
          <w:rFonts w:ascii="Times New Roman" w:hAnsi="Times New Roman"/>
          <w:sz w:val="24"/>
          <w:szCs w:val="24"/>
        </w:rPr>
        <w:t>Е-</w:t>
      </w:r>
      <w:proofErr w:type="gramEnd"/>
      <w:r w:rsidRPr="008510F3">
        <w:rPr>
          <w:rFonts w:ascii="Times New Roman" w:hAnsi="Times New Roman"/>
          <w:sz w:val="24"/>
          <w:szCs w:val="24"/>
        </w:rPr>
        <w:t xml:space="preserve"> естественные насаждения ГНПП «Бурабай», БК – лесные культуры ГНПП «Бурабай»</w:t>
      </w:r>
    </w:p>
    <w:p w:rsidR="00C21DA4" w:rsidRPr="008510F3" w:rsidRDefault="00C21DA4" w:rsidP="00C21DA4">
      <w:pPr>
        <w:spacing w:after="0" w:line="360" w:lineRule="auto"/>
        <w:jc w:val="both"/>
        <w:rPr>
          <w:rFonts w:ascii="Times New Roman" w:hAnsi="Times New Roman"/>
          <w:sz w:val="24"/>
          <w:szCs w:val="24"/>
        </w:rPr>
      </w:pPr>
    </w:p>
    <w:p w:rsidR="00C21DA4" w:rsidRPr="008510F3" w:rsidRDefault="00C21DA4" w:rsidP="00C21DA4">
      <w:pPr>
        <w:pStyle w:val="a3"/>
        <w:spacing w:after="0" w:line="360" w:lineRule="auto"/>
        <w:ind w:left="0" w:firstLine="567"/>
        <w:jc w:val="both"/>
        <w:rPr>
          <w:rFonts w:ascii="Times New Roman" w:hAnsi="Times New Roman"/>
          <w:sz w:val="24"/>
          <w:szCs w:val="24"/>
          <w:lang w:val="ru-RU"/>
        </w:rPr>
      </w:pPr>
      <w:r w:rsidRPr="008510F3">
        <w:rPr>
          <w:rFonts w:ascii="Times New Roman" w:hAnsi="Times New Roman"/>
          <w:sz w:val="24"/>
          <w:szCs w:val="24"/>
          <w:lang w:val="ru-RU"/>
        </w:rPr>
        <w:t xml:space="preserve">В настоящее время нет проблемы в определении солнечной активности по годам не только прошедшим, но и будущим. </w:t>
      </w:r>
      <w:proofErr w:type="gramStart"/>
      <w:r w:rsidRPr="008510F3">
        <w:rPr>
          <w:rFonts w:ascii="Times New Roman" w:hAnsi="Times New Roman"/>
          <w:sz w:val="24"/>
          <w:szCs w:val="24"/>
          <w:lang w:val="ru-RU"/>
        </w:rPr>
        <w:t>Поэтому</w:t>
      </w:r>
      <w:proofErr w:type="gramEnd"/>
      <w:r w:rsidRPr="008510F3">
        <w:rPr>
          <w:rFonts w:ascii="Times New Roman" w:hAnsi="Times New Roman"/>
          <w:sz w:val="24"/>
          <w:szCs w:val="24"/>
          <w:lang w:val="ru-RU"/>
        </w:rPr>
        <w:t xml:space="preserve"> судя по прогнозу СА можно выбирать благоприятное время для повышения биологической устойчивости лесов. Из таблицы 1 видно, что наибольшие значения прироста сосны обыкновенной наблюдались в момент спада солнечной активности, следовательно, на это время можно планировать проведение лесохозяйственных мероприятий – посадку лесных культур, выполнение рубок ухода и многие другие работы. </w:t>
      </w:r>
      <w:proofErr w:type="gramStart"/>
      <w:r w:rsidRPr="008510F3">
        <w:rPr>
          <w:rFonts w:ascii="Times New Roman" w:hAnsi="Times New Roman"/>
          <w:sz w:val="24"/>
          <w:szCs w:val="24"/>
          <w:lang w:val="ru-RU"/>
        </w:rPr>
        <w:t>В период ухудшения состояния и роста сосны обыкновенной выполняют лесохозяйственные работы, направленные на повышение устойчивости деревьев – внесение ростовых веществ в лесных культурах, профилактических защитных и охранных мероприятий в естественных и искусственных насаждениях.</w:t>
      </w:r>
      <w:proofErr w:type="gramEnd"/>
    </w:p>
    <w:p w:rsidR="00C21DA4" w:rsidRPr="008510F3" w:rsidRDefault="00C21DA4" w:rsidP="00C21DA4">
      <w:pPr>
        <w:pStyle w:val="a3"/>
        <w:spacing w:after="0" w:line="360" w:lineRule="auto"/>
        <w:ind w:left="0" w:firstLine="567"/>
        <w:jc w:val="both"/>
        <w:rPr>
          <w:rFonts w:ascii="Times New Roman" w:hAnsi="Times New Roman"/>
          <w:sz w:val="24"/>
          <w:szCs w:val="24"/>
        </w:rPr>
      </w:pPr>
      <w:r w:rsidRPr="008510F3">
        <w:rPr>
          <w:rFonts w:ascii="Times New Roman" w:hAnsi="Times New Roman"/>
          <w:sz w:val="24"/>
          <w:szCs w:val="24"/>
        </w:rPr>
        <w:t xml:space="preserve">Для </w:t>
      </w:r>
      <w:r w:rsidRPr="008510F3">
        <w:rPr>
          <w:rFonts w:ascii="Times New Roman" w:hAnsi="Times New Roman"/>
          <w:sz w:val="24"/>
          <w:szCs w:val="24"/>
          <w:lang w:val="ru-RU"/>
        </w:rPr>
        <w:t xml:space="preserve">оптимального и рационального выбора тех или иных мер и </w:t>
      </w:r>
      <w:r w:rsidRPr="008510F3">
        <w:rPr>
          <w:rFonts w:ascii="Times New Roman" w:hAnsi="Times New Roman"/>
          <w:sz w:val="24"/>
          <w:szCs w:val="24"/>
        </w:rPr>
        <w:t xml:space="preserve">предотвращения негативных факторов антропогенного и техногенного воздействия, </w:t>
      </w:r>
      <w:r w:rsidRPr="008510F3">
        <w:rPr>
          <w:rFonts w:ascii="Times New Roman" w:hAnsi="Times New Roman"/>
          <w:sz w:val="24"/>
          <w:szCs w:val="24"/>
          <w:lang w:val="ru-RU"/>
        </w:rPr>
        <w:t xml:space="preserve">существует возможность выполнения прогнозных моделей прироста сосны обыкновенной (таблица 2). </w:t>
      </w:r>
    </w:p>
    <w:p w:rsidR="00C21DA4" w:rsidRPr="008510F3" w:rsidRDefault="00C21DA4" w:rsidP="00C21DA4">
      <w:pPr>
        <w:spacing w:after="0" w:line="360" w:lineRule="auto"/>
        <w:ind w:firstLine="567"/>
        <w:jc w:val="both"/>
        <w:rPr>
          <w:rFonts w:ascii="Times New Roman" w:hAnsi="Times New Roman"/>
          <w:sz w:val="24"/>
          <w:szCs w:val="24"/>
        </w:rPr>
      </w:pPr>
    </w:p>
    <w:p w:rsidR="00C21DA4" w:rsidRPr="008510F3" w:rsidRDefault="00C21DA4" w:rsidP="00C21DA4">
      <w:pPr>
        <w:spacing w:after="0" w:line="360" w:lineRule="auto"/>
        <w:jc w:val="both"/>
        <w:rPr>
          <w:rFonts w:ascii="Times New Roman" w:hAnsi="Times New Roman"/>
          <w:sz w:val="24"/>
          <w:szCs w:val="24"/>
        </w:rPr>
      </w:pPr>
      <w:r w:rsidRPr="008510F3">
        <w:rPr>
          <w:rFonts w:ascii="Times New Roman" w:hAnsi="Times New Roman"/>
          <w:sz w:val="24"/>
          <w:szCs w:val="24"/>
        </w:rPr>
        <w:t>Таблица 2 – Прогнозная модель на основе уравнений аппроксимац</w:t>
      </w:r>
      <w:proofErr w:type="gramStart"/>
      <w:r w:rsidRPr="008510F3">
        <w:rPr>
          <w:rFonts w:ascii="Times New Roman" w:hAnsi="Times New Roman"/>
          <w:sz w:val="24"/>
          <w:szCs w:val="24"/>
        </w:rPr>
        <w:t>ии и ее</w:t>
      </w:r>
      <w:proofErr w:type="gramEnd"/>
      <w:r w:rsidRPr="008510F3">
        <w:rPr>
          <w:rFonts w:ascii="Times New Roman" w:hAnsi="Times New Roman"/>
          <w:sz w:val="24"/>
          <w:szCs w:val="24"/>
        </w:rPr>
        <w:t xml:space="preserve"> достоверность радиального прироста сосны обыкновенной в различные периоды солнечной активности</w:t>
      </w:r>
    </w:p>
    <w:tbl>
      <w:tblPr>
        <w:tblW w:w="98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2072"/>
        <w:gridCol w:w="2072"/>
        <w:gridCol w:w="1792"/>
        <w:gridCol w:w="1792"/>
      </w:tblGrid>
      <w:tr w:rsidR="00C21DA4" w:rsidRPr="008510F3" w:rsidTr="007E70A7">
        <w:trPr>
          <w:trHeight w:val="152"/>
        </w:trPr>
        <w:tc>
          <w:tcPr>
            <w:tcW w:w="2186" w:type="dxa"/>
            <w:vMerge w:val="restart"/>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rPr>
              <w:t>Происхождение и местонахождение насаждения</w:t>
            </w:r>
          </w:p>
        </w:tc>
        <w:tc>
          <w:tcPr>
            <w:tcW w:w="7646" w:type="dxa"/>
            <w:gridSpan w:val="4"/>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center"/>
              <w:rPr>
                <w:rFonts w:ascii="Times New Roman" w:hAnsi="Times New Roman"/>
                <w:sz w:val="24"/>
                <w:szCs w:val="24"/>
              </w:rPr>
            </w:pPr>
            <w:r w:rsidRPr="008510F3">
              <w:rPr>
                <w:rFonts w:ascii="Times New Roman" w:hAnsi="Times New Roman"/>
                <w:sz w:val="24"/>
                <w:szCs w:val="24"/>
              </w:rPr>
              <w:t>Эпохи солнечной активности</w:t>
            </w:r>
          </w:p>
        </w:tc>
      </w:tr>
      <w:tr w:rsidR="00C21DA4" w:rsidRPr="008510F3" w:rsidTr="007E70A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DA4" w:rsidRPr="008510F3" w:rsidRDefault="00C21DA4" w:rsidP="007E70A7">
            <w:pPr>
              <w:spacing w:after="0" w:line="360" w:lineRule="auto"/>
              <w:rPr>
                <w:rFonts w:ascii="Times New Roman" w:hAnsi="Times New Roman"/>
                <w:sz w:val="24"/>
                <w:szCs w:val="24"/>
              </w:rPr>
            </w:pP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rPr>
              <w:t>максимум</w:t>
            </w: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rPr>
              <w:t>минимум</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rPr>
              <w:t>ветвь роста</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rPr>
              <w:t>ветвь спада</w:t>
            </w:r>
          </w:p>
        </w:tc>
      </w:tr>
      <w:tr w:rsidR="00C21DA4" w:rsidRPr="008510F3" w:rsidTr="007E70A7">
        <w:trPr>
          <w:trHeight w:val="160"/>
        </w:trPr>
        <w:tc>
          <w:tcPr>
            <w:tcW w:w="2186"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rPr>
              <w:lastRenderedPageBreak/>
              <w:t>Естественные насаждения ГНПП «Бурабай»</w:t>
            </w: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у=0,0001х</w:t>
            </w:r>
            <w:r w:rsidRPr="008510F3">
              <w:rPr>
                <w:rFonts w:ascii="Times New Roman" w:hAnsi="Times New Roman"/>
                <w:sz w:val="24"/>
                <w:szCs w:val="24"/>
                <w:vertAlign w:val="superscript"/>
              </w:rPr>
              <w:t>2</w:t>
            </w:r>
            <w:r w:rsidRPr="008510F3">
              <w:rPr>
                <w:rFonts w:ascii="Times New Roman" w:hAnsi="Times New Roman"/>
                <w:sz w:val="24"/>
                <w:szCs w:val="24"/>
              </w:rPr>
              <w:t>-0,5153х+515,7</w:t>
            </w:r>
          </w:p>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=0,5457</w:t>
            </w: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у=9Е-05х</w:t>
            </w:r>
            <w:r w:rsidRPr="008510F3">
              <w:rPr>
                <w:rFonts w:ascii="Times New Roman" w:hAnsi="Times New Roman"/>
                <w:sz w:val="24"/>
                <w:szCs w:val="24"/>
                <w:vertAlign w:val="superscript"/>
              </w:rPr>
              <w:t>2</w:t>
            </w:r>
            <w:r w:rsidRPr="008510F3">
              <w:rPr>
                <w:rFonts w:ascii="Times New Roman" w:hAnsi="Times New Roman"/>
                <w:sz w:val="24"/>
                <w:szCs w:val="24"/>
              </w:rPr>
              <w:t>-0,3759х+376,23</w:t>
            </w:r>
          </w:p>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=0,4805</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у=0,0004х</w:t>
            </w:r>
            <w:r w:rsidRPr="008510F3">
              <w:rPr>
                <w:rFonts w:ascii="Times New Roman" w:hAnsi="Times New Roman"/>
                <w:sz w:val="24"/>
                <w:szCs w:val="24"/>
                <w:vertAlign w:val="superscript"/>
              </w:rPr>
              <w:t>2</w:t>
            </w:r>
            <w:r w:rsidRPr="008510F3">
              <w:rPr>
                <w:rFonts w:ascii="Times New Roman" w:hAnsi="Times New Roman"/>
                <w:sz w:val="24"/>
                <w:szCs w:val="24"/>
              </w:rPr>
              <w:t>-14596х+1446,4</w:t>
            </w:r>
          </w:p>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=0,6078</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у=1Е-05х</w:t>
            </w:r>
            <w:r w:rsidRPr="008510F3">
              <w:rPr>
                <w:rFonts w:ascii="Times New Roman" w:hAnsi="Times New Roman"/>
                <w:sz w:val="24"/>
                <w:szCs w:val="24"/>
                <w:vertAlign w:val="superscript"/>
              </w:rPr>
              <w:t>2</w:t>
            </w:r>
            <w:r w:rsidRPr="008510F3">
              <w:rPr>
                <w:rFonts w:ascii="Times New Roman" w:hAnsi="Times New Roman"/>
                <w:sz w:val="24"/>
                <w:szCs w:val="24"/>
              </w:rPr>
              <w:t>-0,0571х+61,93</w:t>
            </w:r>
          </w:p>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=0,4687</w:t>
            </w:r>
          </w:p>
        </w:tc>
      </w:tr>
      <w:tr w:rsidR="00C21DA4" w:rsidRPr="008510F3" w:rsidTr="007E70A7">
        <w:trPr>
          <w:trHeight w:val="160"/>
        </w:trPr>
        <w:tc>
          <w:tcPr>
            <w:tcW w:w="2186"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rPr>
              <w:t>Лесные культуры ГНПП «Бурабай»</w:t>
            </w: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у=0,0002х</w:t>
            </w:r>
            <w:r w:rsidRPr="008510F3">
              <w:rPr>
                <w:rFonts w:ascii="Times New Roman" w:hAnsi="Times New Roman"/>
                <w:sz w:val="24"/>
                <w:szCs w:val="24"/>
                <w:vertAlign w:val="superscript"/>
              </w:rPr>
              <w:t>2</w:t>
            </w:r>
            <w:r w:rsidRPr="008510F3">
              <w:rPr>
                <w:rFonts w:ascii="Times New Roman" w:hAnsi="Times New Roman"/>
                <w:sz w:val="24"/>
                <w:szCs w:val="24"/>
              </w:rPr>
              <w:t>-0,8725х+876,21</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=0,9067</w:t>
            </w: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у=0,0002х</w:t>
            </w:r>
            <w:r w:rsidRPr="008510F3">
              <w:rPr>
                <w:rFonts w:ascii="Times New Roman" w:hAnsi="Times New Roman"/>
                <w:sz w:val="24"/>
                <w:szCs w:val="24"/>
                <w:vertAlign w:val="superscript"/>
              </w:rPr>
              <w:t>2</w:t>
            </w:r>
            <w:r w:rsidRPr="008510F3">
              <w:rPr>
                <w:rFonts w:ascii="Times New Roman" w:hAnsi="Times New Roman"/>
                <w:sz w:val="24"/>
                <w:szCs w:val="24"/>
              </w:rPr>
              <w:t>-0,8628х+866,57</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=0,8498</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у=0,0004х</w:t>
            </w:r>
            <w:r w:rsidRPr="008510F3">
              <w:rPr>
                <w:rFonts w:ascii="Times New Roman" w:hAnsi="Times New Roman"/>
                <w:sz w:val="24"/>
                <w:szCs w:val="24"/>
                <w:vertAlign w:val="superscript"/>
              </w:rPr>
              <w:t>2</w:t>
            </w:r>
            <w:r w:rsidRPr="008510F3">
              <w:rPr>
                <w:rFonts w:ascii="Times New Roman" w:hAnsi="Times New Roman"/>
                <w:sz w:val="24"/>
                <w:szCs w:val="24"/>
              </w:rPr>
              <w:t>-1,5537х+1553,3</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=0,9014</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у=0,0002х</w:t>
            </w:r>
            <w:r w:rsidRPr="008510F3">
              <w:rPr>
                <w:rFonts w:ascii="Times New Roman" w:hAnsi="Times New Roman"/>
                <w:sz w:val="24"/>
                <w:szCs w:val="24"/>
                <w:vertAlign w:val="superscript"/>
              </w:rPr>
              <w:t>2</w:t>
            </w:r>
            <w:r w:rsidRPr="008510F3">
              <w:rPr>
                <w:rFonts w:ascii="Times New Roman" w:hAnsi="Times New Roman"/>
                <w:sz w:val="24"/>
                <w:szCs w:val="24"/>
              </w:rPr>
              <w:t>-0,6155х+619,38</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=0,8776</w:t>
            </w:r>
          </w:p>
        </w:tc>
      </w:tr>
      <w:tr w:rsidR="00C21DA4" w:rsidRPr="008510F3" w:rsidTr="007E70A7">
        <w:trPr>
          <w:trHeight w:val="160"/>
        </w:trPr>
        <w:tc>
          <w:tcPr>
            <w:tcW w:w="2186"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rPr>
              <w:t>Естественные насаждения ГЛПР «Семей орманы»</w:t>
            </w: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у=9Е-05х</w:t>
            </w:r>
            <w:r w:rsidRPr="008510F3">
              <w:rPr>
                <w:rFonts w:ascii="Times New Roman" w:hAnsi="Times New Roman"/>
                <w:sz w:val="24"/>
                <w:szCs w:val="24"/>
                <w:vertAlign w:val="superscript"/>
              </w:rPr>
              <w:t>3</w:t>
            </w:r>
            <w:r w:rsidRPr="008510F3">
              <w:rPr>
                <w:rFonts w:ascii="Times New Roman" w:hAnsi="Times New Roman"/>
                <w:sz w:val="24"/>
                <w:szCs w:val="24"/>
              </w:rPr>
              <w:t>-0,5454х</w:t>
            </w:r>
            <w:r w:rsidRPr="008510F3">
              <w:rPr>
                <w:rFonts w:ascii="Times New Roman" w:hAnsi="Times New Roman"/>
                <w:sz w:val="24"/>
                <w:szCs w:val="24"/>
                <w:vertAlign w:val="superscript"/>
              </w:rPr>
              <w:t>2</w:t>
            </w:r>
            <w:r w:rsidRPr="008510F3">
              <w:rPr>
                <w:rFonts w:ascii="Times New Roman" w:hAnsi="Times New Roman"/>
                <w:sz w:val="24"/>
                <w:szCs w:val="24"/>
              </w:rPr>
              <w:t>+1084,3х-718577</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=0,927</w:t>
            </w: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у=2Е-05х</w:t>
            </w:r>
            <w:r w:rsidRPr="008510F3">
              <w:rPr>
                <w:rFonts w:ascii="Times New Roman" w:hAnsi="Times New Roman"/>
                <w:sz w:val="24"/>
                <w:szCs w:val="24"/>
                <w:vertAlign w:val="superscript"/>
              </w:rPr>
              <w:t>3</w:t>
            </w:r>
            <w:r w:rsidRPr="008510F3">
              <w:rPr>
                <w:rFonts w:ascii="Times New Roman" w:hAnsi="Times New Roman"/>
                <w:sz w:val="24"/>
                <w:szCs w:val="24"/>
              </w:rPr>
              <w:t>-0,1006х</w:t>
            </w:r>
            <w:r w:rsidRPr="008510F3">
              <w:rPr>
                <w:rFonts w:ascii="Times New Roman" w:hAnsi="Times New Roman"/>
                <w:sz w:val="24"/>
                <w:szCs w:val="24"/>
                <w:vertAlign w:val="superscript"/>
              </w:rPr>
              <w:t>2</w:t>
            </w:r>
            <w:r w:rsidRPr="008510F3">
              <w:rPr>
                <w:rFonts w:ascii="Times New Roman" w:hAnsi="Times New Roman"/>
                <w:sz w:val="24"/>
                <w:szCs w:val="24"/>
              </w:rPr>
              <w:t>+191,55х-121577</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=0,6397</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у=0,0002х</w:t>
            </w:r>
            <w:r w:rsidRPr="008510F3">
              <w:rPr>
                <w:rFonts w:ascii="Times New Roman" w:hAnsi="Times New Roman"/>
                <w:sz w:val="24"/>
                <w:szCs w:val="24"/>
                <w:vertAlign w:val="superscript"/>
              </w:rPr>
              <w:t>2</w:t>
            </w:r>
            <w:r w:rsidRPr="008510F3">
              <w:rPr>
                <w:rFonts w:ascii="Times New Roman" w:hAnsi="Times New Roman"/>
                <w:sz w:val="24"/>
                <w:szCs w:val="24"/>
              </w:rPr>
              <w:t>-0,7572х+753</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=0,5061</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у=0,0002х</w:t>
            </w:r>
            <w:r w:rsidRPr="008510F3">
              <w:rPr>
                <w:rFonts w:ascii="Times New Roman" w:hAnsi="Times New Roman"/>
                <w:sz w:val="24"/>
                <w:szCs w:val="24"/>
                <w:vertAlign w:val="superscript"/>
              </w:rPr>
              <w:t>2</w:t>
            </w:r>
            <w:r w:rsidRPr="008510F3">
              <w:rPr>
                <w:rFonts w:ascii="Times New Roman" w:hAnsi="Times New Roman"/>
                <w:sz w:val="24"/>
                <w:szCs w:val="24"/>
              </w:rPr>
              <w:t>-0,7934х+788,56</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=0,5111</w:t>
            </w:r>
          </w:p>
        </w:tc>
      </w:tr>
      <w:tr w:rsidR="00C21DA4" w:rsidRPr="008510F3" w:rsidTr="007E70A7">
        <w:trPr>
          <w:trHeight w:val="160"/>
        </w:trPr>
        <w:tc>
          <w:tcPr>
            <w:tcW w:w="2186"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rPr>
                <w:rFonts w:ascii="Times New Roman" w:hAnsi="Times New Roman"/>
                <w:sz w:val="24"/>
                <w:szCs w:val="24"/>
              </w:rPr>
            </w:pPr>
            <w:r w:rsidRPr="008510F3">
              <w:rPr>
                <w:rFonts w:ascii="Times New Roman" w:hAnsi="Times New Roman"/>
                <w:sz w:val="24"/>
                <w:szCs w:val="24"/>
              </w:rPr>
              <w:t>Лесные культуры ГЛПР «Семей орманы»</w:t>
            </w: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у=0,0015х</w:t>
            </w:r>
            <w:r w:rsidRPr="008510F3">
              <w:rPr>
                <w:rFonts w:ascii="Times New Roman" w:hAnsi="Times New Roman"/>
                <w:sz w:val="24"/>
                <w:szCs w:val="24"/>
                <w:vertAlign w:val="superscript"/>
              </w:rPr>
              <w:t>2</w:t>
            </w:r>
            <w:r w:rsidRPr="008510F3">
              <w:rPr>
                <w:rFonts w:ascii="Times New Roman" w:hAnsi="Times New Roman"/>
                <w:sz w:val="24"/>
                <w:szCs w:val="24"/>
              </w:rPr>
              <w:t>-5,9364х+6061,2</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=0,9484</w:t>
            </w:r>
          </w:p>
        </w:tc>
        <w:tc>
          <w:tcPr>
            <w:tcW w:w="2050"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у=0,0112х</w:t>
            </w:r>
            <w:r w:rsidRPr="008510F3">
              <w:rPr>
                <w:rFonts w:ascii="Times New Roman" w:hAnsi="Times New Roman"/>
                <w:sz w:val="24"/>
                <w:szCs w:val="24"/>
                <w:vertAlign w:val="superscript"/>
              </w:rPr>
              <w:t>2</w:t>
            </w:r>
            <w:r w:rsidRPr="008510F3">
              <w:rPr>
                <w:rFonts w:ascii="Times New Roman" w:hAnsi="Times New Roman"/>
                <w:sz w:val="24"/>
                <w:szCs w:val="24"/>
              </w:rPr>
              <w:t>-44,796х+44957</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=1,0</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у=0,0124х</w:t>
            </w:r>
            <w:r w:rsidRPr="008510F3">
              <w:rPr>
                <w:rFonts w:ascii="Times New Roman" w:hAnsi="Times New Roman"/>
                <w:sz w:val="24"/>
                <w:szCs w:val="24"/>
                <w:vertAlign w:val="superscript"/>
              </w:rPr>
              <w:t>2</w:t>
            </w:r>
            <w:r w:rsidRPr="008510F3">
              <w:rPr>
                <w:rFonts w:ascii="Times New Roman" w:hAnsi="Times New Roman"/>
                <w:sz w:val="24"/>
                <w:szCs w:val="24"/>
              </w:rPr>
              <w:t>-49,669х+49795</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=0,9926</w:t>
            </w:r>
          </w:p>
        </w:tc>
        <w:tc>
          <w:tcPr>
            <w:tcW w:w="1773" w:type="dxa"/>
            <w:tcBorders>
              <w:top w:val="single" w:sz="4" w:space="0" w:color="auto"/>
              <w:left w:val="single" w:sz="4" w:space="0" w:color="auto"/>
              <w:bottom w:val="single" w:sz="4" w:space="0" w:color="auto"/>
              <w:right w:val="single" w:sz="4" w:space="0" w:color="auto"/>
            </w:tcBorders>
            <w:hideMark/>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у=0,0031х</w:t>
            </w:r>
            <w:r w:rsidRPr="008510F3">
              <w:rPr>
                <w:rFonts w:ascii="Times New Roman" w:hAnsi="Times New Roman"/>
                <w:sz w:val="24"/>
                <w:szCs w:val="24"/>
                <w:vertAlign w:val="superscript"/>
              </w:rPr>
              <w:t>2</w:t>
            </w:r>
            <w:r w:rsidRPr="008510F3">
              <w:rPr>
                <w:rFonts w:ascii="Times New Roman" w:hAnsi="Times New Roman"/>
                <w:sz w:val="24"/>
                <w:szCs w:val="24"/>
              </w:rPr>
              <w:t>-12,414х+12526</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2</w:t>
            </w:r>
            <w:r w:rsidRPr="008510F3">
              <w:rPr>
                <w:rFonts w:ascii="Times New Roman" w:hAnsi="Times New Roman"/>
                <w:sz w:val="24"/>
                <w:szCs w:val="24"/>
              </w:rPr>
              <w:t>=0,7944</w:t>
            </w:r>
          </w:p>
        </w:tc>
      </w:tr>
    </w:tbl>
    <w:p w:rsidR="00C21DA4" w:rsidRPr="008510F3" w:rsidRDefault="00C21DA4" w:rsidP="00C21DA4">
      <w:pPr>
        <w:spacing w:after="0" w:line="360" w:lineRule="auto"/>
        <w:rPr>
          <w:rFonts w:ascii="Times New Roman" w:hAnsi="Times New Roman"/>
          <w:sz w:val="24"/>
          <w:szCs w:val="24"/>
        </w:rPr>
      </w:pPr>
    </w:p>
    <w:p w:rsidR="00C21DA4" w:rsidRPr="008510F3" w:rsidRDefault="00C21DA4" w:rsidP="00C21DA4">
      <w:pPr>
        <w:pStyle w:val="a3"/>
        <w:spacing w:after="0" w:line="360" w:lineRule="auto"/>
        <w:ind w:left="0" w:firstLine="567"/>
        <w:jc w:val="both"/>
        <w:rPr>
          <w:rFonts w:ascii="Times New Roman" w:hAnsi="Times New Roman"/>
          <w:sz w:val="24"/>
          <w:szCs w:val="24"/>
        </w:rPr>
      </w:pPr>
      <w:r w:rsidRPr="008510F3">
        <w:rPr>
          <w:rFonts w:ascii="Times New Roman" w:hAnsi="Times New Roman"/>
          <w:sz w:val="24"/>
          <w:szCs w:val="24"/>
          <w:lang w:val="ru-RU"/>
        </w:rPr>
        <w:t>С помощью данных моделей на основе ретроспективных сведений по ежегодному радиальному приросту составляются формулы, по которым делается долгосрочный и краткосрочный прогноз. Мы рассчитали прогнозные модели для условий ленточных боров Прииртышья и сосняков Казахского мелкосопочника (таблица 2)</w:t>
      </w:r>
      <w:r w:rsidRPr="008510F3">
        <w:rPr>
          <w:rFonts w:ascii="Times New Roman" w:hAnsi="Times New Roman"/>
          <w:sz w:val="24"/>
          <w:szCs w:val="24"/>
        </w:rPr>
        <w:t xml:space="preserve">, с помощью которых имеется возможность рассчитать величину прироста, осредненного трехлетней скользящей на любой период жизни насаждения. Причем данные расчеты можно выполнять в любой период солнечной активности. </w:t>
      </w:r>
      <w:r w:rsidRPr="008510F3">
        <w:rPr>
          <w:rFonts w:ascii="Times New Roman" w:hAnsi="Times New Roman"/>
          <w:sz w:val="24"/>
          <w:szCs w:val="24"/>
          <w:lang w:val="ru-RU"/>
        </w:rPr>
        <w:t>Их можно использовать для прогноза роста сосновых насаждений в аналогичных почвенно-климатических условиях.</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В таблице 3 приведены прогнозные формулы радиального прироста для естественных и искусственных сосняков после проведения рубок ухода.</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На нашем примере, имея данные дендрохронологического анализа в других регионах Казахстана, можно получить прогнозную модель путем нахождения аппроксимации полученной величины радиального прироста.</w:t>
      </w:r>
    </w:p>
    <w:p w:rsidR="00C21DA4" w:rsidRPr="008510F3" w:rsidRDefault="00C21DA4" w:rsidP="00C21DA4">
      <w:pPr>
        <w:spacing w:after="0" w:line="360" w:lineRule="auto"/>
        <w:jc w:val="both"/>
        <w:rPr>
          <w:rFonts w:ascii="Times New Roman" w:hAnsi="Times New Roman"/>
          <w:sz w:val="24"/>
          <w:szCs w:val="24"/>
        </w:rPr>
      </w:pPr>
    </w:p>
    <w:p w:rsidR="00C21DA4" w:rsidRPr="008510F3" w:rsidRDefault="00C21DA4" w:rsidP="00C21DA4">
      <w:pPr>
        <w:spacing w:after="0" w:line="360" w:lineRule="auto"/>
        <w:jc w:val="both"/>
        <w:rPr>
          <w:rFonts w:ascii="Times New Roman" w:hAnsi="Times New Roman"/>
          <w:sz w:val="24"/>
          <w:szCs w:val="24"/>
        </w:rPr>
      </w:pPr>
      <w:r w:rsidRPr="008510F3">
        <w:rPr>
          <w:rFonts w:ascii="Times New Roman" w:hAnsi="Times New Roman"/>
          <w:sz w:val="24"/>
          <w:szCs w:val="24"/>
        </w:rPr>
        <w:t>Таблица 3 – Прогнозная модель роста естественных и искусственных сосняков в Северном и Восточном Казахстане</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1"/>
        <w:gridCol w:w="1745"/>
        <w:gridCol w:w="1422"/>
        <w:gridCol w:w="1811"/>
        <w:gridCol w:w="2167"/>
      </w:tblGrid>
      <w:tr w:rsidR="00C21DA4" w:rsidRPr="008510F3" w:rsidTr="007E70A7">
        <w:trPr>
          <w:trHeight w:val="150"/>
        </w:trPr>
        <w:tc>
          <w:tcPr>
            <w:tcW w:w="2101" w:type="dxa"/>
            <w:vMerge w:val="restart"/>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Местонахождение участка</w:t>
            </w:r>
          </w:p>
        </w:tc>
        <w:tc>
          <w:tcPr>
            <w:tcW w:w="7145" w:type="dxa"/>
            <w:gridSpan w:val="4"/>
          </w:tcPr>
          <w:p w:rsidR="00C21DA4" w:rsidRPr="008510F3" w:rsidRDefault="00C21DA4" w:rsidP="007E70A7">
            <w:pPr>
              <w:spacing w:after="0" w:line="360" w:lineRule="auto"/>
              <w:jc w:val="center"/>
              <w:rPr>
                <w:rFonts w:ascii="Times New Roman" w:hAnsi="Times New Roman"/>
                <w:sz w:val="24"/>
                <w:szCs w:val="24"/>
              </w:rPr>
            </w:pPr>
            <w:r w:rsidRPr="008510F3">
              <w:rPr>
                <w:rFonts w:ascii="Times New Roman" w:hAnsi="Times New Roman"/>
                <w:sz w:val="24"/>
                <w:szCs w:val="24"/>
              </w:rPr>
              <w:t>Прием рубки</w:t>
            </w:r>
          </w:p>
        </w:tc>
      </w:tr>
      <w:tr w:rsidR="00C21DA4" w:rsidRPr="008510F3" w:rsidTr="007E70A7">
        <w:trPr>
          <w:trHeight w:val="252"/>
        </w:trPr>
        <w:tc>
          <w:tcPr>
            <w:tcW w:w="2101" w:type="dxa"/>
            <w:vMerge/>
          </w:tcPr>
          <w:p w:rsidR="00C21DA4" w:rsidRPr="008510F3" w:rsidRDefault="00C21DA4" w:rsidP="007E70A7">
            <w:pPr>
              <w:spacing w:after="0" w:line="360" w:lineRule="auto"/>
              <w:jc w:val="both"/>
              <w:rPr>
                <w:rFonts w:ascii="Times New Roman" w:hAnsi="Times New Roman"/>
                <w:sz w:val="24"/>
                <w:szCs w:val="24"/>
              </w:rPr>
            </w:pPr>
          </w:p>
        </w:tc>
        <w:tc>
          <w:tcPr>
            <w:tcW w:w="1745" w:type="dxa"/>
          </w:tcPr>
          <w:p w:rsidR="00C21DA4" w:rsidRPr="008510F3" w:rsidRDefault="00C21DA4" w:rsidP="007E70A7">
            <w:pPr>
              <w:spacing w:after="0" w:line="360" w:lineRule="auto"/>
              <w:jc w:val="center"/>
              <w:rPr>
                <w:rFonts w:ascii="Times New Roman" w:hAnsi="Times New Roman"/>
                <w:sz w:val="24"/>
                <w:szCs w:val="24"/>
              </w:rPr>
            </w:pPr>
            <w:r w:rsidRPr="008510F3">
              <w:rPr>
                <w:rFonts w:ascii="Times New Roman" w:hAnsi="Times New Roman"/>
                <w:sz w:val="24"/>
                <w:szCs w:val="24"/>
              </w:rPr>
              <w:t>1</w:t>
            </w:r>
          </w:p>
        </w:tc>
        <w:tc>
          <w:tcPr>
            <w:tcW w:w="1422" w:type="dxa"/>
          </w:tcPr>
          <w:p w:rsidR="00C21DA4" w:rsidRPr="008510F3" w:rsidRDefault="00C21DA4" w:rsidP="007E70A7">
            <w:pPr>
              <w:spacing w:after="0" w:line="360" w:lineRule="auto"/>
              <w:jc w:val="center"/>
              <w:rPr>
                <w:rFonts w:ascii="Times New Roman" w:hAnsi="Times New Roman"/>
                <w:sz w:val="24"/>
                <w:szCs w:val="24"/>
              </w:rPr>
            </w:pPr>
            <w:r w:rsidRPr="008510F3">
              <w:rPr>
                <w:rFonts w:ascii="Times New Roman" w:hAnsi="Times New Roman"/>
                <w:sz w:val="24"/>
                <w:szCs w:val="24"/>
              </w:rPr>
              <w:t>2</w:t>
            </w:r>
          </w:p>
        </w:tc>
        <w:tc>
          <w:tcPr>
            <w:tcW w:w="1811" w:type="dxa"/>
          </w:tcPr>
          <w:p w:rsidR="00C21DA4" w:rsidRPr="008510F3" w:rsidRDefault="00C21DA4" w:rsidP="007E70A7">
            <w:pPr>
              <w:spacing w:after="0" w:line="360" w:lineRule="auto"/>
              <w:jc w:val="center"/>
              <w:rPr>
                <w:rFonts w:ascii="Times New Roman" w:hAnsi="Times New Roman"/>
                <w:sz w:val="24"/>
                <w:szCs w:val="24"/>
              </w:rPr>
            </w:pPr>
            <w:r w:rsidRPr="008510F3">
              <w:rPr>
                <w:rFonts w:ascii="Times New Roman" w:hAnsi="Times New Roman"/>
                <w:sz w:val="24"/>
                <w:szCs w:val="24"/>
              </w:rPr>
              <w:t>3</w:t>
            </w:r>
          </w:p>
        </w:tc>
        <w:tc>
          <w:tcPr>
            <w:tcW w:w="2167" w:type="dxa"/>
          </w:tcPr>
          <w:p w:rsidR="00C21DA4" w:rsidRPr="008510F3" w:rsidRDefault="00C21DA4" w:rsidP="007E70A7">
            <w:pPr>
              <w:spacing w:after="0" w:line="360" w:lineRule="auto"/>
              <w:jc w:val="center"/>
              <w:rPr>
                <w:rFonts w:ascii="Times New Roman" w:hAnsi="Times New Roman"/>
                <w:sz w:val="24"/>
                <w:szCs w:val="24"/>
              </w:rPr>
            </w:pPr>
            <w:r w:rsidRPr="008510F3">
              <w:rPr>
                <w:rFonts w:ascii="Times New Roman" w:hAnsi="Times New Roman"/>
                <w:sz w:val="24"/>
                <w:szCs w:val="24"/>
              </w:rPr>
              <w:t>4</w:t>
            </w:r>
          </w:p>
        </w:tc>
      </w:tr>
      <w:tr w:rsidR="00C21DA4" w:rsidRPr="008510F3" w:rsidTr="007E70A7">
        <w:trPr>
          <w:trHeight w:val="252"/>
        </w:trPr>
        <w:tc>
          <w:tcPr>
            <w:tcW w:w="2101" w:type="dxa"/>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 xml:space="preserve">ГНПП «Бурабай», </w:t>
            </w:r>
            <w:r w:rsidRPr="008510F3">
              <w:rPr>
                <w:rFonts w:ascii="Times New Roman" w:hAnsi="Times New Roman"/>
                <w:sz w:val="24"/>
                <w:szCs w:val="24"/>
              </w:rPr>
              <w:lastRenderedPageBreak/>
              <w:t>естественные леса</w:t>
            </w:r>
          </w:p>
        </w:tc>
        <w:tc>
          <w:tcPr>
            <w:tcW w:w="1745" w:type="dxa"/>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lastRenderedPageBreak/>
              <w:t>у=0,012х-</w:t>
            </w:r>
            <w:r w:rsidRPr="008510F3">
              <w:rPr>
                <w:rFonts w:ascii="Times New Roman" w:hAnsi="Times New Roman"/>
                <w:sz w:val="24"/>
                <w:szCs w:val="24"/>
              </w:rPr>
              <w:lastRenderedPageBreak/>
              <w:t>22,47</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 xml:space="preserve">2 </w:t>
            </w:r>
            <w:r w:rsidRPr="008510F3">
              <w:rPr>
                <w:rFonts w:ascii="Times New Roman" w:hAnsi="Times New Roman"/>
                <w:sz w:val="24"/>
                <w:szCs w:val="24"/>
              </w:rPr>
              <w:t>=0,4209</w:t>
            </w:r>
          </w:p>
        </w:tc>
        <w:tc>
          <w:tcPr>
            <w:tcW w:w="1422" w:type="dxa"/>
          </w:tcPr>
          <w:p w:rsidR="00C21DA4" w:rsidRPr="008510F3" w:rsidRDefault="00C21DA4" w:rsidP="007E70A7">
            <w:pPr>
              <w:spacing w:after="0" w:line="360" w:lineRule="auto"/>
              <w:ind w:firstLine="36"/>
              <w:jc w:val="both"/>
              <w:rPr>
                <w:rFonts w:ascii="Times New Roman" w:hAnsi="Times New Roman"/>
                <w:sz w:val="24"/>
                <w:szCs w:val="24"/>
              </w:rPr>
            </w:pPr>
            <w:r w:rsidRPr="008510F3">
              <w:rPr>
                <w:rFonts w:ascii="Times New Roman" w:hAnsi="Times New Roman"/>
                <w:sz w:val="24"/>
                <w:szCs w:val="24"/>
              </w:rPr>
              <w:lastRenderedPageBreak/>
              <w:t>у=0,0296х-</w:t>
            </w:r>
            <w:r w:rsidRPr="008510F3">
              <w:rPr>
                <w:rFonts w:ascii="Times New Roman" w:hAnsi="Times New Roman"/>
                <w:sz w:val="24"/>
                <w:szCs w:val="24"/>
              </w:rPr>
              <w:lastRenderedPageBreak/>
              <w:t>57,196</w:t>
            </w:r>
          </w:p>
          <w:p w:rsidR="00C21DA4" w:rsidRPr="008510F3" w:rsidRDefault="00C21DA4" w:rsidP="007E70A7">
            <w:pPr>
              <w:spacing w:after="0" w:line="360" w:lineRule="auto"/>
              <w:ind w:firstLine="36"/>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 xml:space="preserve">2 </w:t>
            </w:r>
            <w:r w:rsidRPr="008510F3">
              <w:rPr>
                <w:rFonts w:ascii="Times New Roman" w:hAnsi="Times New Roman"/>
                <w:sz w:val="24"/>
                <w:szCs w:val="24"/>
              </w:rPr>
              <w:t>= 0,9221</w:t>
            </w:r>
          </w:p>
        </w:tc>
        <w:tc>
          <w:tcPr>
            <w:tcW w:w="1811" w:type="dxa"/>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lastRenderedPageBreak/>
              <w:t xml:space="preserve">у=-0,0315х </w:t>
            </w:r>
            <w:r w:rsidRPr="008510F3">
              <w:rPr>
                <w:rFonts w:ascii="Times New Roman" w:hAnsi="Times New Roman"/>
                <w:sz w:val="24"/>
                <w:szCs w:val="24"/>
              </w:rPr>
              <w:lastRenderedPageBreak/>
              <w:t>+62,489</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 xml:space="preserve">2 </w:t>
            </w:r>
            <w:r w:rsidRPr="008510F3">
              <w:rPr>
                <w:rFonts w:ascii="Times New Roman" w:hAnsi="Times New Roman"/>
                <w:sz w:val="24"/>
                <w:szCs w:val="24"/>
              </w:rPr>
              <w:t>= 0,5421</w:t>
            </w:r>
          </w:p>
        </w:tc>
        <w:tc>
          <w:tcPr>
            <w:tcW w:w="2167" w:type="dxa"/>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lastRenderedPageBreak/>
              <w:t>у=0,0116х-22,233</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lastRenderedPageBreak/>
              <w:t>R</w:t>
            </w:r>
            <w:r w:rsidRPr="008510F3">
              <w:rPr>
                <w:rFonts w:ascii="Times New Roman" w:hAnsi="Times New Roman"/>
                <w:sz w:val="24"/>
                <w:szCs w:val="24"/>
                <w:vertAlign w:val="superscript"/>
              </w:rPr>
              <w:t xml:space="preserve">2 </w:t>
            </w:r>
            <w:r w:rsidRPr="008510F3">
              <w:rPr>
                <w:rFonts w:ascii="Times New Roman" w:hAnsi="Times New Roman"/>
                <w:sz w:val="24"/>
                <w:szCs w:val="24"/>
              </w:rPr>
              <w:t>= 0,3649</w:t>
            </w:r>
          </w:p>
          <w:p w:rsidR="00C21DA4" w:rsidRPr="008510F3" w:rsidRDefault="00C21DA4" w:rsidP="007E70A7">
            <w:pPr>
              <w:spacing w:after="0" w:line="360" w:lineRule="auto"/>
              <w:jc w:val="both"/>
              <w:rPr>
                <w:rFonts w:ascii="Times New Roman" w:hAnsi="Times New Roman"/>
                <w:sz w:val="24"/>
                <w:szCs w:val="24"/>
              </w:rPr>
            </w:pPr>
          </w:p>
        </w:tc>
      </w:tr>
      <w:tr w:rsidR="00C21DA4" w:rsidRPr="008510F3" w:rsidTr="007E70A7">
        <w:trPr>
          <w:trHeight w:val="252"/>
        </w:trPr>
        <w:tc>
          <w:tcPr>
            <w:tcW w:w="2101" w:type="dxa"/>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lastRenderedPageBreak/>
              <w:t>ГЛПР «Семей орманы», лесные культуры</w:t>
            </w:r>
          </w:p>
        </w:tc>
        <w:tc>
          <w:tcPr>
            <w:tcW w:w="1745" w:type="dxa"/>
          </w:tcPr>
          <w:p w:rsidR="00C21DA4" w:rsidRPr="008510F3" w:rsidRDefault="00C21DA4" w:rsidP="007E70A7">
            <w:pPr>
              <w:spacing w:after="0" w:line="360" w:lineRule="auto"/>
              <w:jc w:val="both"/>
              <w:rPr>
                <w:rFonts w:ascii="Times New Roman" w:hAnsi="Times New Roman"/>
                <w:sz w:val="24"/>
                <w:szCs w:val="24"/>
                <w:vertAlign w:val="superscript"/>
              </w:rPr>
            </w:pPr>
            <w:r w:rsidRPr="008510F3">
              <w:rPr>
                <w:rFonts w:ascii="Times New Roman" w:hAnsi="Times New Roman"/>
                <w:sz w:val="24"/>
                <w:szCs w:val="24"/>
              </w:rPr>
              <w:t>у=-0,003х</w:t>
            </w:r>
            <w:proofErr w:type="gramStart"/>
            <w:r w:rsidRPr="008510F3">
              <w:rPr>
                <w:rFonts w:ascii="Times New Roman" w:hAnsi="Times New Roman"/>
                <w:sz w:val="24"/>
                <w:szCs w:val="24"/>
                <w:vertAlign w:val="superscript"/>
              </w:rPr>
              <w:t>2</w:t>
            </w:r>
            <w:proofErr w:type="gramEnd"/>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+11,78х-11561</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 xml:space="preserve">2 </w:t>
            </w:r>
            <w:r w:rsidRPr="008510F3">
              <w:rPr>
                <w:rFonts w:ascii="Times New Roman" w:hAnsi="Times New Roman"/>
                <w:sz w:val="24"/>
                <w:szCs w:val="24"/>
              </w:rPr>
              <w:t>= 0,8347</w:t>
            </w:r>
          </w:p>
        </w:tc>
        <w:tc>
          <w:tcPr>
            <w:tcW w:w="1422" w:type="dxa"/>
          </w:tcPr>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rPr>
              <w:t>у=0,144х-288,76</w:t>
            </w:r>
          </w:p>
          <w:p w:rsidR="00C21DA4" w:rsidRPr="008510F3" w:rsidRDefault="00C21DA4" w:rsidP="007E70A7">
            <w:pPr>
              <w:spacing w:after="0" w:line="360" w:lineRule="auto"/>
              <w:jc w:val="both"/>
              <w:rPr>
                <w:rFonts w:ascii="Times New Roman" w:hAnsi="Times New Roman"/>
                <w:sz w:val="24"/>
                <w:szCs w:val="24"/>
              </w:rPr>
            </w:pPr>
            <w:r w:rsidRPr="008510F3">
              <w:rPr>
                <w:rFonts w:ascii="Times New Roman" w:hAnsi="Times New Roman"/>
                <w:sz w:val="24"/>
                <w:szCs w:val="24"/>
                <w:lang w:val="en-US"/>
              </w:rPr>
              <w:t>R</w:t>
            </w:r>
            <w:r w:rsidRPr="008510F3">
              <w:rPr>
                <w:rFonts w:ascii="Times New Roman" w:hAnsi="Times New Roman"/>
                <w:sz w:val="24"/>
                <w:szCs w:val="24"/>
                <w:vertAlign w:val="superscript"/>
              </w:rPr>
              <w:t xml:space="preserve">2 </w:t>
            </w:r>
            <w:r w:rsidRPr="008510F3">
              <w:rPr>
                <w:rFonts w:ascii="Times New Roman" w:hAnsi="Times New Roman"/>
                <w:sz w:val="24"/>
                <w:szCs w:val="24"/>
              </w:rPr>
              <w:t>= 0,8728</w:t>
            </w:r>
          </w:p>
        </w:tc>
        <w:tc>
          <w:tcPr>
            <w:tcW w:w="1811" w:type="dxa"/>
          </w:tcPr>
          <w:p w:rsidR="00C21DA4" w:rsidRPr="008510F3" w:rsidRDefault="00C21DA4" w:rsidP="007E70A7">
            <w:pPr>
              <w:spacing w:after="0" w:line="360" w:lineRule="auto"/>
              <w:jc w:val="both"/>
              <w:rPr>
                <w:rFonts w:ascii="Times New Roman" w:hAnsi="Times New Roman"/>
                <w:sz w:val="24"/>
                <w:szCs w:val="24"/>
              </w:rPr>
            </w:pPr>
          </w:p>
        </w:tc>
        <w:tc>
          <w:tcPr>
            <w:tcW w:w="2167" w:type="dxa"/>
          </w:tcPr>
          <w:p w:rsidR="00C21DA4" w:rsidRPr="008510F3" w:rsidRDefault="00C21DA4" w:rsidP="007E70A7">
            <w:pPr>
              <w:spacing w:after="0" w:line="360" w:lineRule="auto"/>
              <w:jc w:val="both"/>
              <w:rPr>
                <w:rFonts w:ascii="Times New Roman" w:hAnsi="Times New Roman"/>
                <w:sz w:val="24"/>
                <w:szCs w:val="24"/>
              </w:rPr>
            </w:pPr>
          </w:p>
        </w:tc>
      </w:tr>
    </w:tbl>
    <w:p w:rsidR="00C21DA4" w:rsidRPr="008510F3" w:rsidRDefault="00C21DA4" w:rsidP="00C21DA4">
      <w:pPr>
        <w:spacing w:after="0" w:line="360" w:lineRule="auto"/>
        <w:rPr>
          <w:rFonts w:ascii="Times New Roman" w:hAnsi="Times New Roman"/>
          <w:sz w:val="24"/>
          <w:szCs w:val="24"/>
        </w:rPr>
      </w:pPr>
    </w:p>
    <w:p w:rsidR="00C21DA4" w:rsidRPr="008510F3" w:rsidRDefault="00C21DA4" w:rsidP="00C21DA4">
      <w:pPr>
        <w:spacing w:after="0" w:line="360" w:lineRule="auto"/>
        <w:jc w:val="both"/>
        <w:rPr>
          <w:rFonts w:ascii="Times New Roman" w:hAnsi="Times New Roman"/>
          <w:sz w:val="24"/>
          <w:szCs w:val="24"/>
        </w:rPr>
      </w:pPr>
    </w:p>
    <w:p w:rsidR="00C21DA4" w:rsidRPr="00594490" w:rsidRDefault="00C21DA4" w:rsidP="00C21DA4">
      <w:pPr>
        <w:spacing w:after="160" w:line="360" w:lineRule="auto"/>
        <w:jc w:val="center"/>
        <w:rPr>
          <w:rFonts w:ascii="Times New Roman" w:hAnsi="Times New Roman"/>
          <w:b/>
          <w:sz w:val="24"/>
          <w:szCs w:val="24"/>
        </w:rPr>
      </w:pPr>
      <w:r w:rsidRPr="008510F3">
        <w:rPr>
          <w:rFonts w:ascii="Times New Roman" w:hAnsi="Times New Roman"/>
          <w:sz w:val="24"/>
          <w:szCs w:val="24"/>
        </w:rPr>
        <w:br w:type="page"/>
      </w:r>
      <w:r w:rsidR="00594490">
        <w:rPr>
          <w:rFonts w:ascii="Times New Roman" w:hAnsi="Times New Roman"/>
          <w:b/>
          <w:sz w:val="24"/>
          <w:szCs w:val="24"/>
        </w:rPr>
        <w:lastRenderedPageBreak/>
        <w:t>СПИСОК ИСПОЛЬЗОВАННЫХ ИСТОЧНИКОВ</w:t>
      </w:r>
    </w:p>
    <w:p w:rsidR="00C21DA4" w:rsidRPr="008510F3" w:rsidRDefault="00C21DA4" w:rsidP="00C21DA4">
      <w:pPr>
        <w:spacing w:after="0" w:line="360" w:lineRule="auto"/>
        <w:ind w:firstLine="567"/>
        <w:jc w:val="center"/>
        <w:rPr>
          <w:rFonts w:ascii="Times New Roman" w:hAnsi="Times New Roman"/>
          <w:sz w:val="24"/>
          <w:szCs w:val="24"/>
        </w:rPr>
      </w:pP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Макаренко А.А., Муканов Б.М. Рубки ухода в сосняках Казахстан. – Алматы: Бастау, 2002. – 220 с.</w:t>
      </w:r>
    </w:p>
    <w:p w:rsidR="00C21DA4" w:rsidRPr="008510F3" w:rsidRDefault="00C21DA4" w:rsidP="00C21DA4">
      <w:pPr>
        <w:pStyle w:val="a3"/>
        <w:spacing w:after="0" w:line="360" w:lineRule="auto"/>
        <w:ind w:left="0" w:firstLine="567"/>
        <w:jc w:val="both"/>
        <w:rPr>
          <w:rFonts w:ascii="Times New Roman" w:hAnsi="Times New Roman"/>
          <w:sz w:val="24"/>
          <w:szCs w:val="24"/>
          <w:shd w:val="clear" w:color="auto" w:fill="FFFFFF"/>
        </w:rPr>
      </w:pPr>
      <w:r w:rsidRPr="008510F3">
        <w:rPr>
          <w:rFonts w:ascii="Times New Roman" w:hAnsi="Times New Roman"/>
          <w:sz w:val="24"/>
          <w:szCs w:val="24"/>
        </w:rPr>
        <w:t>Дмитриева Е. В. Динамика текущего прироста древостоев основных групп типов сосновых лесов Бузулукского бора и возможности ее прогнозирования // Лесное хозяйство. – 1987. - № 2. – С. 51–53.</w:t>
      </w:r>
    </w:p>
    <w:p w:rsidR="00C21DA4" w:rsidRPr="008510F3" w:rsidRDefault="00C21DA4" w:rsidP="00C21DA4">
      <w:pPr>
        <w:pStyle w:val="a3"/>
        <w:spacing w:after="0" w:line="360" w:lineRule="auto"/>
        <w:ind w:left="0" w:firstLine="567"/>
        <w:jc w:val="both"/>
        <w:rPr>
          <w:rFonts w:ascii="Times New Roman" w:hAnsi="Times New Roman"/>
          <w:sz w:val="24"/>
          <w:szCs w:val="24"/>
        </w:rPr>
      </w:pPr>
      <w:r w:rsidRPr="008510F3">
        <w:rPr>
          <w:rFonts w:ascii="Times New Roman" w:hAnsi="Times New Roman"/>
          <w:sz w:val="24"/>
          <w:szCs w:val="24"/>
        </w:rPr>
        <w:t>Белецкий Е.Н. Массовые размножения насекомых. Теория, история, прогнозирование. – Харьков: Майдан, 2011. – 172 с.</w:t>
      </w:r>
    </w:p>
    <w:p w:rsidR="00C21DA4" w:rsidRPr="008510F3" w:rsidRDefault="00C21DA4" w:rsidP="00C21DA4">
      <w:pPr>
        <w:pStyle w:val="a3"/>
        <w:spacing w:after="0" w:line="360" w:lineRule="auto"/>
        <w:ind w:left="0" w:firstLine="567"/>
        <w:jc w:val="both"/>
        <w:rPr>
          <w:rFonts w:ascii="Times New Roman" w:hAnsi="Times New Roman"/>
          <w:sz w:val="24"/>
          <w:szCs w:val="24"/>
        </w:rPr>
      </w:pPr>
      <w:r w:rsidRPr="008510F3">
        <w:rPr>
          <w:rFonts w:ascii="Times New Roman" w:hAnsi="Times New Roman"/>
          <w:sz w:val="24"/>
          <w:szCs w:val="24"/>
        </w:rPr>
        <w:t>Липаткин В.А., Пальчиков С.Б. и др. Факторы среды в годы аномальных приростов сосны в лесной зоне РФ // Общество. Среда. Развитие. - 2017. - № 3 (44). – С. 99-10.</w:t>
      </w:r>
    </w:p>
    <w:p w:rsidR="00C21DA4" w:rsidRPr="008510F3" w:rsidRDefault="00C21DA4" w:rsidP="00C21DA4">
      <w:pPr>
        <w:pStyle w:val="a3"/>
        <w:spacing w:after="0" w:line="360" w:lineRule="auto"/>
        <w:ind w:left="0" w:firstLine="567"/>
        <w:jc w:val="both"/>
        <w:rPr>
          <w:rFonts w:ascii="Times New Roman" w:hAnsi="Times New Roman"/>
          <w:sz w:val="24"/>
          <w:szCs w:val="24"/>
        </w:rPr>
      </w:pPr>
      <w:r w:rsidRPr="008510F3">
        <w:rPr>
          <w:rFonts w:ascii="Times New Roman" w:hAnsi="Times New Roman"/>
          <w:sz w:val="24"/>
          <w:szCs w:val="24"/>
        </w:rPr>
        <w:t>Ловелиус Н.В., Лежнева С.В. Изменение прироста годичных колец сосны и ели в Восточно-Европейской тайге в связи с географическими факторами среды. – С-ПБ.; Вологда: ВОУНБ, 2015. – 178 с.</w:t>
      </w:r>
    </w:p>
    <w:p w:rsidR="00C21DA4" w:rsidRPr="008510F3" w:rsidRDefault="00C21DA4" w:rsidP="00C21DA4">
      <w:pPr>
        <w:spacing w:after="0" w:line="360" w:lineRule="auto"/>
        <w:ind w:firstLine="567"/>
        <w:jc w:val="both"/>
        <w:rPr>
          <w:rFonts w:ascii="Times New Roman" w:hAnsi="Times New Roman"/>
          <w:sz w:val="24"/>
          <w:szCs w:val="24"/>
        </w:rPr>
      </w:pPr>
      <w:r w:rsidRPr="008510F3">
        <w:rPr>
          <w:rFonts w:ascii="Times New Roman" w:hAnsi="Times New Roman"/>
          <w:sz w:val="24"/>
          <w:szCs w:val="24"/>
        </w:rPr>
        <w:t xml:space="preserve"> </w:t>
      </w:r>
    </w:p>
    <w:p w:rsidR="00C21DA4" w:rsidRPr="008510F3" w:rsidRDefault="00C21DA4" w:rsidP="00C21DA4">
      <w:pPr>
        <w:spacing w:after="0" w:line="360" w:lineRule="auto"/>
        <w:ind w:firstLine="567"/>
        <w:jc w:val="center"/>
        <w:rPr>
          <w:rFonts w:ascii="Times New Roman" w:hAnsi="Times New Roman"/>
          <w:sz w:val="24"/>
          <w:szCs w:val="24"/>
        </w:rPr>
      </w:pPr>
    </w:p>
    <w:p w:rsidR="00C21DA4" w:rsidRPr="008510F3" w:rsidRDefault="00C21DA4" w:rsidP="00C21DA4">
      <w:pPr>
        <w:spacing w:after="0" w:line="360" w:lineRule="auto"/>
        <w:ind w:firstLine="567"/>
        <w:jc w:val="center"/>
        <w:rPr>
          <w:rFonts w:ascii="Times New Roman" w:hAnsi="Times New Roman"/>
          <w:sz w:val="24"/>
          <w:szCs w:val="24"/>
        </w:rPr>
      </w:pPr>
    </w:p>
    <w:p w:rsidR="00C21DA4" w:rsidRPr="00594490" w:rsidRDefault="00C21DA4" w:rsidP="00C21DA4">
      <w:pPr>
        <w:autoSpaceDE w:val="0"/>
        <w:autoSpaceDN w:val="0"/>
        <w:adjustRightInd w:val="0"/>
        <w:spacing w:after="0" w:line="360" w:lineRule="auto"/>
        <w:ind w:firstLine="567"/>
        <w:jc w:val="center"/>
        <w:rPr>
          <w:rFonts w:ascii="Times New Roman" w:eastAsia="TimesNewRomanPSMT" w:hAnsi="Times New Roman"/>
          <w:b/>
          <w:sz w:val="24"/>
          <w:szCs w:val="24"/>
        </w:rPr>
      </w:pPr>
      <w:r w:rsidRPr="008510F3">
        <w:rPr>
          <w:rFonts w:ascii="Times New Roman" w:eastAsia="TimesNewRomanPSMT" w:hAnsi="Times New Roman"/>
          <w:sz w:val="24"/>
          <w:szCs w:val="24"/>
        </w:rPr>
        <w:br w:type="page"/>
      </w:r>
      <w:r w:rsidR="00E65479" w:rsidRPr="00594490">
        <w:rPr>
          <w:rFonts w:ascii="Times New Roman" w:eastAsia="TimesNewRomanPSMT" w:hAnsi="Times New Roman"/>
          <w:b/>
          <w:sz w:val="24"/>
          <w:szCs w:val="24"/>
          <w:lang w:val="en-US"/>
        </w:rPr>
        <w:lastRenderedPageBreak/>
        <w:t>APPENDIX</w:t>
      </w:r>
      <w:r w:rsidR="00E65479" w:rsidRPr="00594490">
        <w:rPr>
          <w:rFonts w:ascii="Times New Roman" w:eastAsia="TimesNewRomanPSMT" w:hAnsi="Times New Roman"/>
          <w:b/>
          <w:sz w:val="24"/>
          <w:szCs w:val="24"/>
        </w:rPr>
        <w:t xml:space="preserve"> </w:t>
      </w:r>
      <w:r w:rsidR="00E65479" w:rsidRPr="00594490">
        <w:rPr>
          <w:rFonts w:ascii="Times New Roman" w:eastAsia="TimesNewRomanPSMT" w:hAnsi="Times New Roman"/>
          <w:b/>
          <w:sz w:val="24"/>
          <w:szCs w:val="24"/>
          <w:lang w:val="en-US"/>
        </w:rPr>
        <w:t>D</w:t>
      </w:r>
    </w:p>
    <w:p w:rsidR="00C21DA4" w:rsidRPr="008510F3" w:rsidRDefault="00C21DA4" w:rsidP="00C21DA4">
      <w:pPr>
        <w:autoSpaceDE w:val="0"/>
        <w:autoSpaceDN w:val="0"/>
        <w:adjustRightInd w:val="0"/>
        <w:spacing w:after="0" w:line="360" w:lineRule="auto"/>
        <w:ind w:firstLine="567"/>
        <w:jc w:val="center"/>
        <w:rPr>
          <w:rFonts w:ascii="Times New Roman" w:eastAsia="TimesNewRomanPSMT" w:hAnsi="Times New Roman"/>
          <w:sz w:val="24"/>
          <w:szCs w:val="24"/>
        </w:rPr>
      </w:pPr>
      <w:r>
        <w:rPr>
          <w:rFonts w:ascii="Times New Roman" w:eastAsia="TimesNewRomanPSMT" w:hAnsi="Times New Roman"/>
          <w:noProof/>
          <w:sz w:val="24"/>
          <w:szCs w:val="24"/>
          <w:lang w:eastAsia="ru-RU"/>
        </w:rPr>
        <w:drawing>
          <wp:inline distT="0" distB="0" distL="0" distR="0">
            <wp:extent cx="6112510" cy="8608695"/>
            <wp:effectExtent l="0" t="0" r="2540" b="1905"/>
            <wp:docPr id="31" name="Рисунок 31"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2510" cy="8608695"/>
                    </a:xfrm>
                    <a:prstGeom prst="rect">
                      <a:avLst/>
                    </a:prstGeom>
                    <a:noFill/>
                    <a:ln>
                      <a:noFill/>
                    </a:ln>
                  </pic:spPr>
                </pic:pic>
              </a:graphicData>
            </a:graphic>
          </wp:inline>
        </w:drawing>
      </w:r>
    </w:p>
    <w:p w:rsidR="00C21DA4" w:rsidRPr="008510F3" w:rsidRDefault="00C21DA4" w:rsidP="00C21DA4">
      <w:pPr>
        <w:autoSpaceDE w:val="0"/>
        <w:autoSpaceDN w:val="0"/>
        <w:adjustRightInd w:val="0"/>
        <w:spacing w:after="0" w:line="360" w:lineRule="auto"/>
        <w:ind w:firstLine="567"/>
        <w:jc w:val="center"/>
        <w:rPr>
          <w:rFonts w:ascii="Times New Roman" w:eastAsia="TimesNewRomanPSMT" w:hAnsi="Times New Roman"/>
          <w:sz w:val="24"/>
          <w:szCs w:val="24"/>
        </w:rPr>
      </w:pPr>
      <w:r>
        <w:rPr>
          <w:rFonts w:ascii="Times New Roman" w:eastAsia="TimesNewRomanPSMT" w:hAnsi="Times New Roman"/>
          <w:noProof/>
          <w:sz w:val="24"/>
          <w:szCs w:val="24"/>
          <w:lang w:eastAsia="ru-RU"/>
        </w:rPr>
        <w:lastRenderedPageBreak/>
        <w:drawing>
          <wp:inline distT="0" distB="0" distL="0" distR="0">
            <wp:extent cx="6112510" cy="8550910"/>
            <wp:effectExtent l="0" t="0" r="2540" b="2540"/>
            <wp:docPr id="30" name="Рисунок 30"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2510" cy="8550910"/>
                    </a:xfrm>
                    <a:prstGeom prst="rect">
                      <a:avLst/>
                    </a:prstGeom>
                    <a:noFill/>
                    <a:ln>
                      <a:noFill/>
                    </a:ln>
                  </pic:spPr>
                </pic:pic>
              </a:graphicData>
            </a:graphic>
          </wp:inline>
        </w:drawing>
      </w:r>
    </w:p>
    <w:p w:rsidR="00C21DA4" w:rsidRPr="008510F3" w:rsidRDefault="00C21DA4" w:rsidP="00C21DA4">
      <w:pPr>
        <w:pStyle w:val="a3"/>
        <w:spacing w:after="0" w:line="360" w:lineRule="auto"/>
        <w:ind w:left="0" w:firstLine="567"/>
        <w:jc w:val="center"/>
        <w:rPr>
          <w:rFonts w:ascii="Times New Roman" w:hAnsi="Times New Roman"/>
          <w:sz w:val="24"/>
          <w:szCs w:val="24"/>
          <w:lang w:val="ru-RU"/>
        </w:rPr>
      </w:pPr>
    </w:p>
    <w:p w:rsidR="00C21DA4" w:rsidRPr="008510F3" w:rsidRDefault="00C21DA4" w:rsidP="00C21DA4">
      <w:pPr>
        <w:pStyle w:val="a3"/>
        <w:spacing w:after="0" w:line="360" w:lineRule="auto"/>
        <w:ind w:left="0" w:firstLine="567"/>
        <w:jc w:val="center"/>
        <w:rPr>
          <w:rFonts w:ascii="Times New Roman" w:hAnsi="Times New Roman"/>
          <w:sz w:val="24"/>
          <w:szCs w:val="24"/>
          <w:lang w:val="ru-RU"/>
        </w:rPr>
      </w:pPr>
      <w:r>
        <w:rPr>
          <w:rFonts w:ascii="Times New Roman" w:hAnsi="Times New Roman"/>
          <w:noProof/>
          <w:sz w:val="24"/>
          <w:szCs w:val="24"/>
          <w:lang w:val="ru-RU" w:eastAsia="ru-RU"/>
        </w:rPr>
        <w:lastRenderedPageBreak/>
        <w:drawing>
          <wp:inline distT="0" distB="0" distL="0" distR="0">
            <wp:extent cx="6112510" cy="8484870"/>
            <wp:effectExtent l="0" t="0" r="2540" b="0"/>
            <wp:docPr id="29" name="Рисунок 29"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2510" cy="8484870"/>
                    </a:xfrm>
                    <a:prstGeom prst="rect">
                      <a:avLst/>
                    </a:prstGeom>
                    <a:noFill/>
                    <a:ln>
                      <a:noFill/>
                    </a:ln>
                  </pic:spPr>
                </pic:pic>
              </a:graphicData>
            </a:graphic>
          </wp:inline>
        </w:drawing>
      </w:r>
    </w:p>
    <w:p w:rsidR="00C21DA4" w:rsidRPr="008510F3" w:rsidRDefault="00C21DA4" w:rsidP="00C21DA4">
      <w:pPr>
        <w:pStyle w:val="a3"/>
        <w:spacing w:after="0" w:line="360" w:lineRule="auto"/>
        <w:ind w:left="0" w:firstLine="567"/>
        <w:jc w:val="center"/>
        <w:rPr>
          <w:rFonts w:ascii="Times New Roman" w:hAnsi="Times New Roman"/>
          <w:sz w:val="24"/>
          <w:szCs w:val="24"/>
          <w:lang w:val="ru-RU"/>
        </w:rPr>
      </w:pPr>
    </w:p>
    <w:p w:rsidR="00C21DA4" w:rsidRPr="008510F3" w:rsidRDefault="00C21DA4" w:rsidP="00C21DA4">
      <w:pPr>
        <w:pStyle w:val="a3"/>
        <w:spacing w:after="0" w:line="360" w:lineRule="auto"/>
        <w:ind w:left="0" w:firstLine="567"/>
        <w:jc w:val="center"/>
        <w:rPr>
          <w:rFonts w:ascii="Times New Roman" w:hAnsi="Times New Roman"/>
          <w:sz w:val="24"/>
          <w:szCs w:val="24"/>
          <w:lang w:val="ru-RU"/>
        </w:rPr>
      </w:pPr>
    </w:p>
    <w:p w:rsidR="00C21DA4" w:rsidRPr="008510F3" w:rsidRDefault="00C21DA4" w:rsidP="00C21DA4">
      <w:pPr>
        <w:tabs>
          <w:tab w:val="left" w:pos="5862"/>
        </w:tabs>
        <w:spacing w:line="360" w:lineRule="auto"/>
        <w:rPr>
          <w:rFonts w:ascii="Times New Roman" w:hAnsi="Times New Roman"/>
          <w:sz w:val="24"/>
          <w:szCs w:val="24"/>
          <w:lang w:eastAsia="x-none"/>
        </w:rPr>
      </w:pPr>
      <w:r>
        <w:rPr>
          <w:rFonts w:ascii="Times New Roman" w:hAnsi="Times New Roman"/>
          <w:noProof/>
          <w:sz w:val="24"/>
          <w:szCs w:val="24"/>
          <w:lang w:eastAsia="ru-RU"/>
        </w:rPr>
        <w:drawing>
          <wp:inline distT="0" distB="0" distL="0" distR="0">
            <wp:extent cx="6120765" cy="6153785"/>
            <wp:effectExtent l="0" t="0" r="0" b="0"/>
            <wp:docPr id="28" name="Рисунок 28"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0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6153785"/>
                    </a:xfrm>
                    <a:prstGeom prst="rect">
                      <a:avLst/>
                    </a:prstGeom>
                    <a:noFill/>
                    <a:ln>
                      <a:noFill/>
                    </a:ln>
                  </pic:spPr>
                </pic:pic>
              </a:graphicData>
            </a:graphic>
          </wp:inline>
        </w:drawing>
      </w:r>
    </w:p>
    <w:p w:rsidR="00C21DA4" w:rsidRPr="008510F3" w:rsidRDefault="00C21DA4" w:rsidP="00C21DA4">
      <w:pPr>
        <w:tabs>
          <w:tab w:val="left" w:pos="5862"/>
        </w:tabs>
        <w:spacing w:line="360" w:lineRule="auto"/>
        <w:rPr>
          <w:rFonts w:ascii="Times New Roman" w:hAnsi="Times New Roman"/>
          <w:sz w:val="24"/>
          <w:szCs w:val="24"/>
          <w:lang w:eastAsia="x-none"/>
        </w:rPr>
      </w:pPr>
    </w:p>
    <w:p w:rsidR="00C21DA4" w:rsidRPr="008510F3" w:rsidRDefault="00C21DA4" w:rsidP="00C21DA4">
      <w:pPr>
        <w:tabs>
          <w:tab w:val="left" w:pos="5862"/>
        </w:tabs>
        <w:spacing w:line="360" w:lineRule="auto"/>
        <w:rPr>
          <w:rFonts w:ascii="Times New Roman" w:hAnsi="Times New Roman"/>
          <w:sz w:val="24"/>
          <w:szCs w:val="24"/>
          <w:lang w:eastAsia="x-none"/>
        </w:rPr>
      </w:pPr>
    </w:p>
    <w:p w:rsidR="00C21DA4" w:rsidRPr="008510F3" w:rsidRDefault="00C21DA4" w:rsidP="00C21DA4">
      <w:pPr>
        <w:tabs>
          <w:tab w:val="left" w:pos="5862"/>
        </w:tabs>
        <w:spacing w:line="360" w:lineRule="auto"/>
        <w:rPr>
          <w:rFonts w:ascii="Times New Roman" w:hAnsi="Times New Roman"/>
          <w:sz w:val="24"/>
          <w:szCs w:val="24"/>
          <w:lang w:eastAsia="x-none"/>
        </w:rPr>
      </w:pPr>
    </w:p>
    <w:p w:rsidR="00C21DA4" w:rsidRDefault="00C21DA4" w:rsidP="00C21DA4">
      <w:pPr>
        <w:tabs>
          <w:tab w:val="left" w:pos="5862"/>
        </w:tabs>
        <w:spacing w:line="360" w:lineRule="auto"/>
        <w:rPr>
          <w:rFonts w:ascii="Times New Roman" w:hAnsi="Times New Roman"/>
          <w:sz w:val="24"/>
          <w:szCs w:val="24"/>
          <w:lang w:eastAsia="x-none"/>
        </w:rPr>
      </w:pPr>
      <w:r>
        <w:rPr>
          <w:rFonts w:ascii="Times New Roman" w:hAnsi="Times New Roman"/>
          <w:noProof/>
          <w:sz w:val="24"/>
          <w:szCs w:val="24"/>
          <w:lang w:eastAsia="ru-RU"/>
        </w:rPr>
        <w:lastRenderedPageBreak/>
        <w:drawing>
          <wp:inline distT="0" distB="0" distL="0" distR="0">
            <wp:extent cx="6120765" cy="7867015"/>
            <wp:effectExtent l="0" t="0" r="0" b="635"/>
            <wp:docPr id="27" name="Рисунок 27" descr="сканирование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ние00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7867015"/>
                    </a:xfrm>
                    <a:prstGeom prst="rect">
                      <a:avLst/>
                    </a:prstGeom>
                    <a:noFill/>
                    <a:ln>
                      <a:noFill/>
                    </a:ln>
                  </pic:spPr>
                </pic:pic>
              </a:graphicData>
            </a:graphic>
          </wp:inline>
        </w:drawing>
      </w:r>
    </w:p>
    <w:p w:rsidR="00C21DA4" w:rsidRDefault="00C21DA4" w:rsidP="00C21DA4">
      <w:pPr>
        <w:tabs>
          <w:tab w:val="left" w:pos="5862"/>
        </w:tabs>
        <w:spacing w:line="360" w:lineRule="auto"/>
        <w:rPr>
          <w:rFonts w:ascii="Times New Roman" w:hAnsi="Times New Roman"/>
          <w:sz w:val="24"/>
          <w:szCs w:val="24"/>
          <w:lang w:eastAsia="x-none"/>
        </w:rPr>
      </w:pPr>
    </w:p>
    <w:p w:rsidR="00C21DA4" w:rsidRDefault="00C21DA4" w:rsidP="00C21DA4">
      <w:pPr>
        <w:tabs>
          <w:tab w:val="left" w:pos="5862"/>
        </w:tabs>
        <w:spacing w:line="360" w:lineRule="auto"/>
        <w:rPr>
          <w:rFonts w:ascii="Times New Roman" w:hAnsi="Times New Roman"/>
          <w:sz w:val="24"/>
          <w:szCs w:val="24"/>
          <w:lang w:eastAsia="x-none"/>
        </w:rPr>
      </w:pPr>
    </w:p>
    <w:p w:rsidR="00C21DA4" w:rsidRPr="008510F3" w:rsidRDefault="00C21DA4" w:rsidP="00C21DA4">
      <w:pPr>
        <w:tabs>
          <w:tab w:val="left" w:pos="5862"/>
        </w:tabs>
        <w:spacing w:line="360" w:lineRule="auto"/>
        <w:rPr>
          <w:rFonts w:ascii="Times New Roman" w:hAnsi="Times New Roman"/>
          <w:sz w:val="24"/>
          <w:szCs w:val="24"/>
          <w:lang w:eastAsia="x-none"/>
        </w:rPr>
      </w:pPr>
    </w:p>
    <w:p w:rsidR="00C21DA4" w:rsidRPr="00141BED" w:rsidRDefault="00C21DA4" w:rsidP="00141BED">
      <w:pPr>
        <w:spacing w:after="0" w:line="360" w:lineRule="auto"/>
        <w:jc w:val="center"/>
        <w:rPr>
          <w:rFonts w:ascii="Times New Roman" w:eastAsia="Times New Roman" w:hAnsi="Times New Roman"/>
          <w:sz w:val="24"/>
          <w:szCs w:val="24"/>
          <w:lang w:val="en-US" w:eastAsia="ru-RU"/>
        </w:rPr>
      </w:pPr>
    </w:p>
    <w:p w:rsidR="00AA1006" w:rsidRPr="00141BED" w:rsidRDefault="00AA1006" w:rsidP="00141BED">
      <w:pPr>
        <w:spacing w:after="0" w:line="360" w:lineRule="auto"/>
        <w:rPr>
          <w:rFonts w:ascii="Times New Roman" w:hAnsi="Times New Roman"/>
          <w:sz w:val="24"/>
          <w:szCs w:val="24"/>
          <w:lang w:val="en-US"/>
        </w:rPr>
      </w:pPr>
    </w:p>
    <w:sectPr w:rsidR="00AA1006" w:rsidRPr="00141BED" w:rsidSect="00CC6AFB">
      <w:footerReference w:type="default" r:id="rId4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5B1" w:rsidRDefault="00B075B1">
      <w:pPr>
        <w:spacing w:after="0" w:line="240" w:lineRule="auto"/>
      </w:pPr>
      <w:r>
        <w:separator/>
      </w:r>
    </w:p>
  </w:endnote>
  <w:endnote w:type="continuationSeparator" w:id="0">
    <w:p w:rsidR="00B075B1" w:rsidRDefault="00B07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ndale Sans UI">
    <w:altName w:val="Times New Roman"/>
    <w:charset w:val="00"/>
    <w:family w:val="auto"/>
    <w:pitch w:val="variable"/>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420" w:rsidRDefault="00B26420">
    <w:pPr>
      <w:pStyle w:val="aa"/>
      <w:jc w:val="center"/>
    </w:pPr>
    <w:r>
      <w:fldChar w:fldCharType="begin"/>
    </w:r>
    <w:r>
      <w:instrText>PAGE   \* MERGEFORMAT</w:instrText>
    </w:r>
    <w:r>
      <w:fldChar w:fldCharType="separate"/>
    </w:r>
    <w:r w:rsidR="00C00D55">
      <w:rPr>
        <w:noProof/>
      </w:rPr>
      <w:t>81</w:t>
    </w:r>
    <w:r>
      <w:fldChar w:fldCharType="end"/>
    </w:r>
  </w:p>
  <w:p w:rsidR="00B26420" w:rsidRDefault="00B2642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5B1" w:rsidRDefault="00B075B1">
      <w:pPr>
        <w:spacing w:after="0" w:line="240" w:lineRule="auto"/>
      </w:pPr>
      <w:r>
        <w:separator/>
      </w:r>
    </w:p>
  </w:footnote>
  <w:footnote w:type="continuationSeparator" w:id="0">
    <w:p w:rsidR="00B075B1" w:rsidRDefault="00B075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995"/>
    <w:rsid w:val="00004029"/>
    <w:rsid w:val="0000557E"/>
    <w:rsid w:val="000165E7"/>
    <w:rsid w:val="0003522F"/>
    <w:rsid w:val="00040463"/>
    <w:rsid w:val="00061CDF"/>
    <w:rsid w:val="000625A0"/>
    <w:rsid w:val="00083A20"/>
    <w:rsid w:val="00087B49"/>
    <w:rsid w:val="00092E7C"/>
    <w:rsid w:val="0009307E"/>
    <w:rsid w:val="00093D1C"/>
    <w:rsid w:val="000A48E4"/>
    <w:rsid w:val="000B1B16"/>
    <w:rsid w:val="000C08FA"/>
    <w:rsid w:val="000C7917"/>
    <w:rsid w:val="000D2E00"/>
    <w:rsid w:val="000D7E76"/>
    <w:rsid w:val="000F211A"/>
    <w:rsid w:val="00102B53"/>
    <w:rsid w:val="00117626"/>
    <w:rsid w:val="00122FC6"/>
    <w:rsid w:val="00132D66"/>
    <w:rsid w:val="001363C3"/>
    <w:rsid w:val="00141BED"/>
    <w:rsid w:val="00142F7C"/>
    <w:rsid w:val="00154A2A"/>
    <w:rsid w:val="0015500D"/>
    <w:rsid w:val="00165AA4"/>
    <w:rsid w:val="0017790D"/>
    <w:rsid w:val="00180DB7"/>
    <w:rsid w:val="00187AC8"/>
    <w:rsid w:val="001902D5"/>
    <w:rsid w:val="00190890"/>
    <w:rsid w:val="001A1029"/>
    <w:rsid w:val="001A19D3"/>
    <w:rsid w:val="001C4554"/>
    <w:rsid w:val="001E453F"/>
    <w:rsid w:val="001F0625"/>
    <w:rsid w:val="00204837"/>
    <w:rsid w:val="00244927"/>
    <w:rsid w:val="0025069F"/>
    <w:rsid w:val="00252013"/>
    <w:rsid w:val="0026465C"/>
    <w:rsid w:val="00265415"/>
    <w:rsid w:val="0029216C"/>
    <w:rsid w:val="002943A2"/>
    <w:rsid w:val="00297E06"/>
    <w:rsid w:val="002A1CA8"/>
    <w:rsid w:val="002D2C61"/>
    <w:rsid w:val="002E1202"/>
    <w:rsid w:val="002E3750"/>
    <w:rsid w:val="002F5A87"/>
    <w:rsid w:val="00301F3F"/>
    <w:rsid w:val="003138E3"/>
    <w:rsid w:val="00320F5C"/>
    <w:rsid w:val="00321A9A"/>
    <w:rsid w:val="00337B7A"/>
    <w:rsid w:val="00352FEC"/>
    <w:rsid w:val="00361230"/>
    <w:rsid w:val="00384138"/>
    <w:rsid w:val="003A1881"/>
    <w:rsid w:val="003A6A58"/>
    <w:rsid w:val="003A6F7C"/>
    <w:rsid w:val="003B68D4"/>
    <w:rsid w:val="003C0669"/>
    <w:rsid w:val="003C3C80"/>
    <w:rsid w:val="003C3DCF"/>
    <w:rsid w:val="003E0EB8"/>
    <w:rsid w:val="003F26D2"/>
    <w:rsid w:val="00427E6E"/>
    <w:rsid w:val="004511C9"/>
    <w:rsid w:val="00462290"/>
    <w:rsid w:val="004714A0"/>
    <w:rsid w:val="004800D0"/>
    <w:rsid w:val="00480862"/>
    <w:rsid w:val="00481087"/>
    <w:rsid w:val="00487024"/>
    <w:rsid w:val="00491910"/>
    <w:rsid w:val="00497913"/>
    <w:rsid w:val="004B1698"/>
    <w:rsid w:val="004B3E68"/>
    <w:rsid w:val="004D164F"/>
    <w:rsid w:val="004D5BD3"/>
    <w:rsid w:val="004E0D92"/>
    <w:rsid w:val="0051307A"/>
    <w:rsid w:val="00513BC9"/>
    <w:rsid w:val="00523F43"/>
    <w:rsid w:val="00531229"/>
    <w:rsid w:val="00537854"/>
    <w:rsid w:val="00542BB5"/>
    <w:rsid w:val="00563A10"/>
    <w:rsid w:val="005756E0"/>
    <w:rsid w:val="005831F6"/>
    <w:rsid w:val="005864A9"/>
    <w:rsid w:val="00590337"/>
    <w:rsid w:val="00593A7D"/>
    <w:rsid w:val="00594490"/>
    <w:rsid w:val="005967D6"/>
    <w:rsid w:val="005C10E1"/>
    <w:rsid w:val="005D41EF"/>
    <w:rsid w:val="006012AB"/>
    <w:rsid w:val="006131F5"/>
    <w:rsid w:val="006206F8"/>
    <w:rsid w:val="00644D63"/>
    <w:rsid w:val="00647515"/>
    <w:rsid w:val="00655966"/>
    <w:rsid w:val="00661F39"/>
    <w:rsid w:val="00684558"/>
    <w:rsid w:val="006B4B54"/>
    <w:rsid w:val="006D2C77"/>
    <w:rsid w:val="006D318F"/>
    <w:rsid w:val="006E3FAB"/>
    <w:rsid w:val="006F0B55"/>
    <w:rsid w:val="006F2F0A"/>
    <w:rsid w:val="006F5006"/>
    <w:rsid w:val="007056E9"/>
    <w:rsid w:val="00710DF4"/>
    <w:rsid w:val="007156AB"/>
    <w:rsid w:val="00715C3F"/>
    <w:rsid w:val="00717763"/>
    <w:rsid w:val="007252B4"/>
    <w:rsid w:val="00725D93"/>
    <w:rsid w:val="00732653"/>
    <w:rsid w:val="00751A02"/>
    <w:rsid w:val="007616FB"/>
    <w:rsid w:val="00763494"/>
    <w:rsid w:val="00782F79"/>
    <w:rsid w:val="00791176"/>
    <w:rsid w:val="007B394C"/>
    <w:rsid w:val="007C0696"/>
    <w:rsid w:val="007C0BDC"/>
    <w:rsid w:val="007D0A16"/>
    <w:rsid w:val="007D1F30"/>
    <w:rsid w:val="007E5581"/>
    <w:rsid w:val="007E6397"/>
    <w:rsid w:val="007E70A7"/>
    <w:rsid w:val="008035C8"/>
    <w:rsid w:val="00806810"/>
    <w:rsid w:val="00812633"/>
    <w:rsid w:val="00814781"/>
    <w:rsid w:val="00816AC4"/>
    <w:rsid w:val="008303FC"/>
    <w:rsid w:val="00830EC6"/>
    <w:rsid w:val="00836398"/>
    <w:rsid w:val="00856939"/>
    <w:rsid w:val="00865ECB"/>
    <w:rsid w:val="00866C1D"/>
    <w:rsid w:val="00873528"/>
    <w:rsid w:val="0087356B"/>
    <w:rsid w:val="008928D8"/>
    <w:rsid w:val="00893BFD"/>
    <w:rsid w:val="008C33DE"/>
    <w:rsid w:val="008E48C0"/>
    <w:rsid w:val="008F5B97"/>
    <w:rsid w:val="008F680B"/>
    <w:rsid w:val="00904FE5"/>
    <w:rsid w:val="00907B5F"/>
    <w:rsid w:val="00907CC6"/>
    <w:rsid w:val="00911CCD"/>
    <w:rsid w:val="00921FF1"/>
    <w:rsid w:val="00926FAB"/>
    <w:rsid w:val="0094118F"/>
    <w:rsid w:val="0094504D"/>
    <w:rsid w:val="00966EC5"/>
    <w:rsid w:val="009720AB"/>
    <w:rsid w:val="00976E86"/>
    <w:rsid w:val="00984D38"/>
    <w:rsid w:val="00994717"/>
    <w:rsid w:val="009A38DA"/>
    <w:rsid w:val="009B0C26"/>
    <w:rsid w:val="009C1ED1"/>
    <w:rsid w:val="009D160A"/>
    <w:rsid w:val="009D238E"/>
    <w:rsid w:val="009E2CEA"/>
    <w:rsid w:val="00A03F8B"/>
    <w:rsid w:val="00A066AC"/>
    <w:rsid w:val="00A1109C"/>
    <w:rsid w:val="00A208EC"/>
    <w:rsid w:val="00A46E8C"/>
    <w:rsid w:val="00A57D42"/>
    <w:rsid w:val="00A57EF6"/>
    <w:rsid w:val="00A77AC9"/>
    <w:rsid w:val="00A820F1"/>
    <w:rsid w:val="00A85021"/>
    <w:rsid w:val="00A86143"/>
    <w:rsid w:val="00A905E8"/>
    <w:rsid w:val="00A96105"/>
    <w:rsid w:val="00AA1006"/>
    <w:rsid w:val="00AA413E"/>
    <w:rsid w:val="00AA6682"/>
    <w:rsid w:val="00AB4F7B"/>
    <w:rsid w:val="00AB5692"/>
    <w:rsid w:val="00AC6CE4"/>
    <w:rsid w:val="00AC7AD7"/>
    <w:rsid w:val="00AE7AC1"/>
    <w:rsid w:val="00AF7CE1"/>
    <w:rsid w:val="00B016E0"/>
    <w:rsid w:val="00B075B1"/>
    <w:rsid w:val="00B26420"/>
    <w:rsid w:val="00B30FA0"/>
    <w:rsid w:val="00B43705"/>
    <w:rsid w:val="00B44163"/>
    <w:rsid w:val="00B46608"/>
    <w:rsid w:val="00B54A25"/>
    <w:rsid w:val="00B701F5"/>
    <w:rsid w:val="00B762C7"/>
    <w:rsid w:val="00B76B80"/>
    <w:rsid w:val="00B86853"/>
    <w:rsid w:val="00BB585F"/>
    <w:rsid w:val="00BB762A"/>
    <w:rsid w:val="00BC6FB9"/>
    <w:rsid w:val="00BE4B28"/>
    <w:rsid w:val="00BF1683"/>
    <w:rsid w:val="00C00D55"/>
    <w:rsid w:val="00C21DA4"/>
    <w:rsid w:val="00C2545F"/>
    <w:rsid w:val="00C404B3"/>
    <w:rsid w:val="00C449FF"/>
    <w:rsid w:val="00C572D3"/>
    <w:rsid w:val="00C6516B"/>
    <w:rsid w:val="00C65F5F"/>
    <w:rsid w:val="00C709FE"/>
    <w:rsid w:val="00C81562"/>
    <w:rsid w:val="00C85AED"/>
    <w:rsid w:val="00CA1282"/>
    <w:rsid w:val="00CC4C77"/>
    <w:rsid w:val="00CC6AFB"/>
    <w:rsid w:val="00CD0758"/>
    <w:rsid w:val="00CD2054"/>
    <w:rsid w:val="00CD6601"/>
    <w:rsid w:val="00CE38AB"/>
    <w:rsid w:val="00D0333B"/>
    <w:rsid w:val="00D05B77"/>
    <w:rsid w:val="00D1421B"/>
    <w:rsid w:val="00D21CD5"/>
    <w:rsid w:val="00D35478"/>
    <w:rsid w:val="00D355B2"/>
    <w:rsid w:val="00D41288"/>
    <w:rsid w:val="00D54CD1"/>
    <w:rsid w:val="00D6009D"/>
    <w:rsid w:val="00D63C4D"/>
    <w:rsid w:val="00D72617"/>
    <w:rsid w:val="00D82DBF"/>
    <w:rsid w:val="00D95B22"/>
    <w:rsid w:val="00DA31D1"/>
    <w:rsid w:val="00DB1896"/>
    <w:rsid w:val="00DB6746"/>
    <w:rsid w:val="00DD4B4D"/>
    <w:rsid w:val="00E20AA7"/>
    <w:rsid w:val="00E304FA"/>
    <w:rsid w:val="00E34239"/>
    <w:rsid w:val="00E41D57"/>
    <w:rsid w:val="00E46E35"/>
    <w:rsid w:val="00E5793C"/>
    <w:rsid w:val="00E60318"/>
    <w:rsid w:val="00E65479"/>
    <w:rsid w:val="00E670F7"/>
    <w:rsid w:val="00E77D82"/>
    <w:rsid w:val="00E91DAC"/>
    <w:rsid w:val="00E93E1A"/>
    <w:rsid w:val="00EA2CF5"/>
    <w:rsid w:val="00EC4242"/>
    <w:rsid w:val="00F0067B"/>
    <w:rsid w:val="00F15617"/>
    <w:rsid w:val="00F15B9B"/>
    <w:rsid w:val="00F16965"/>
    <w:rsid w:val="00F232F5"/>
    <w:rsid w:val="00F30D75"/>
    <w:rsid w:val="00F31ABB"/>
    <w:rsid w:val="00F40360"/>
    <w:rsid w:val="00F42AFF"/>
    <w:rsid w:val="00F57D1F"/>
    <w:rsid w:val="00F677AE"/>
    <w:rsid w:val="00F72F06"/>
    <w:rsid w:val="00F73B6C"/>
    <w:rsid w:val="00F813EF"/>
    <w:rsid w:val="00F814AA"/>
    <w:rsid w:val="00F86993"/>
    <w:rsid w:val="00F95995"/>
    <w:rsid w:val="00FA60E9"/>
    <w:rsid w:val="00FB1670"/>
    <w:rsid w:val="00FC0E7C"/>
    <w:rsid w:val="00FC467A"/>
    <w:rsid w:val="00FC4C32"/>
    <w:rsid w:val="00FC61A0"/>
    <w:rsid w:val="00FF0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0F1"/>
    <w:pPr>
      <w:spacing w:after="200" w:line="276" w:lineRule="auto"/>
    </w:pPr>
    <w:rPr>
      <w:rFonts w:ascii="Calibri" w:eastAsia="Calibri" w:hAnsi="Calibri" w:cs="Times New Roman"/>
    </w:rPr>
  </w:style>
  <w:style w:type="paragraph" w:styleId="1">
    <w:name w:val="heading 1"/>
    <w:basedOn w:val="a"/>
    <w:next w:val="a"/>
    <w:link w:val="10"/>
    <w:uiPriority w:val="9"/>
    <w:qFormat/>
    <w:rsid w:val="00907B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маркированный,Абзац списка3"/>
    <w:basedOn w:val="a"/>
    <w:link w:val="a4"/>
    <w:uiPriority w:val="34"/>
    <w:qFormat/>
    <w:rsid w:val="00A820F1"/>
    <w:pPr>
      <w:ind w:left="720"/>
      <w:contextualSpacing/>
    </w:pPr>
    <w:rPr>
      <w:sz w:val="20"/>
      <w:szCs w:val="20"/>
      <w:lang w:val="x-none" w:eastAsia="x-none"/>
    </w:rPr>
  </w:style>
  <w:style w:type="character" w:customStyle="1" w:styleId="a4">
    <w:name w:val="Абзац списка Знак"/>
    <w:aliases w:val="List Paragraph (numbered (a)) Знак,маркированный Знак,Абзац списка3 Знак"/>
    <w:link w:val="a3"/>
    <w:uiPriority w:val="34"/>
    <w:locked/>
    <w:rsid w:val="00A820F1"/>
    <w:rPr>
      <w:rFonts w:ascii="Calibri" w:eastAsia="Calibri" w:hAnsi="Calibri" w:cs="Times New Roman"/>
      <w:sz w:val="20"/>
      <w:szCs w:val="20"/>
      <w:lang w:val="x-none" w:eastAsia="x-none"/>
    </w:rPr>
  </w:style>
  <w:style w:type="character" w:styleId="a5">
    <w:name w:val="Emphasis"/>
    <w:uiPriority w:val="20"/>
    <w:qFormat/>
    <w:rsid w:val="00A820F1"/>
    <w:rPr>
      <w:i/>
      <w:iCs/>
    </w:rPr>
  </w:style>
  <w:style w:type="character" w:styleId="a6">
    <w:name w:val="Hyperlink"/>
    <w:uiPriority w:val="99"/>
    <w:unhideWhenUsed/>
    <w:rsid w:val="00A820F1"/>
    <w:rPr>
      <w:color w:val="0000FF"/>
      <w:u w:val="single"/>
    </w:rPr>
  </w:style>
  <w:style w:type="paragraph" w:customStyle="1" w:styleId="TITULNameofprogect">
    <w:name w:val="TITUL Name of progect"/>
    <w:basedOn w:val="a"/>
    <w:rsid w:val="00A820F1"/>
    <w:pPr>
      <w:spacing w:after="0" w:line="240" w:lineRule="auto"/>
      <w:jc w:val="center"/>
    </w:pPr>
    <w:rPr>
      <w:rFonts w:ascii="Times New Roman" w:eastAsia="Times New Roman" w:hAnsi="Times New Roman" w:cs="Arial"/>
      <w:b/>
      <w:bCs/>
      <w:color w:val="000000"/>
      <w:kern w:val="16"/>
      <w:sz w:val="28"/>
      <w:szCs w:val="28"/>
      <w:lang w:val="en-GB" w:eastAsia="ru-RU"/>
    </w:rPr>
  </w:style>
  <w:style w:type="character" w:customStyle="1" w:styleId="a7">
    <w:name w:val="Заголовок Знак"/>
    <w:rsid w:val="00A820F1"/>
    <w:rPr>
      <w:rFonts w:ascii="Times New Roman" w:eastAsia="Times New Roman" w:hAnsi="Times New Roman"/>
      <w:sz w:val="28"/>
    </w:rPr>
  </w:style>
  <w:style w:type="paragraph" w:styleId="a8">
    <w:name w:val="No Spacing"/>
    <w:link w:val="a9"/>
    <w:uiPriority w:val="1"/>
    <w:qFormat/>
    <w:rsid w:val="00A820F1"/>
    <w:pPr>
      <w:spacing w:after="0" w:line="240" w:lineRule="auto"/>
    </w:pPr>
    <w:rPr>
      <w:rFonts w:ascii="Consolas" w:eastAsia="Consolas" w:hAnsi="Consolas" w:cs="Times New Roman"/>
      <w:lang w:val="en-US"/>
    </w:rPr>
  </w:style>
  <w:style w:type="character" w:customStyle="1" w:styleId="a9">
    <w:name w:val="Без интервала Знак"/>
    <w:link w:val="a8"/>
    <w:uiPriority w:val="1"/>
    <w:rsid w:val="00A820F1"/>
    <w:rPr>
      <w:rFonts w:ascii="Consolas" w:eastAsia="Consolas" w:hAnsi="Consolas" w:cs="Times New Roman"/>
      <w:lang w:val="en-US"/>
    </w:rPr>
  </w:style>
  <w:style w:type="paragraph" w:customStyle="1" w:styleId="Default">
    <w:name w:val="Default"/>
    <w:rsid w:val="00A820F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a">
    <w:name w:val="footer"/>
    <w:basedOn w:val="a"/>
    <w:link w:val="ab"/>
    <w:uiPriority w:val="99"/>
    <w:unhideWhenUsed/>
    <w:rsid w:val="00A820F1"/>
    <w:pPr>
      <w:tabs>
        <w:tab w:val="center" w:pos="4677"/>
        <w:tab w:val="right" w:pos="9355"/>
      </w:tabs>
    </w:pPr>
  </w:style>
  <w:style w:type="character" w:customStyle="1" w:styleId="ab">
    <w:name w:val="Нижний колонтитул Знак"/>
    <w:basedOn w:val="a0"/>
    <w:link w:val="aa"/>
    <w:uiPriority w:val="99"/>
    <w:rsid w:val="00A820F1"/>
    <w:rPr>
      <w:rFonts w:ascii="Calibri" w:eastAsia="Calibri" w:hAnsi="Calibri" w:cs="Times New Roman"/>
    </w:rPr>
  </w:style>
  <w:style w:type="character" w:customStyle="1" w:styleId="s0">
    <w:name w:val="s0"/>
    <w:rsid w:val="00A820F1"/>
    <w:rPr>
      <w:rFonts w:ascii="Times New Roman" w:hAnsi="Times New Roman" w:cs="Times New Roman"/>
      <w:b w:val="0"/>
      <w:bCs w:val="0"/>
      <w:i w:val="0"/>
      <w:iCs w:val="0"/>
      <w:strike w:val="0"/>
      <w:dstrike w:val="0"/>
      <w:color w:val="000000"/>
      <w:sz w:val="32"/>
      <w:szCs w:val="32"/>
      <w:u w:val="none"/>
    </w:rPr>
  </w:style>
  <w:style w:type="table" w:styleId="ac">
    <w:name w:val="Table Grid"/>
    <w:basedOn w:val="a1"/>
    <w:uiPriority w:val="39"/>
    <w:rsid w:val="00586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basedOn w:val="a"/>
    <w:next w:val="ae"/>
    <w:link w:val="af"/>
    <w:qFormat/>
    <w:rsid w:val="001A1029"/>
    <w:pPr>
      <w:spacing w:after="0" w:line="240" w:lineRule="auto"/>
      <w:jc w:val="center"/>
    </w:pPr>
    <w:rPr>
      <w:rFonts w:ascii="Times New Roman" w:eastAsia="Times New Roman" w:hAnsi="Times New Roman"/>
      <w:sz w:val="20"/>
      <w:szCs w:val="20"/>
      <w:lang w:val="x-none" w:eastAsia="x-none"/>
    </w:rPr>
  </w:style>
  <w:style w:type="character" w:customStyle="1" w:styleId="af">
    <w:name w:val="Название Знак"/>
    <w:link w:val="ad"/>
    <w:rsid w:val="001A1029"/>
    <w:rPr>
      <w:rFonts w:ascii="Times New Roman" w:eastAsia="Times New Roman" w:hAnsi="Times New Roman" w:cs="Times New Roman"/>
      <w:sz w:val="20"/>
      <w:szCs w:val="20"/>
      <w:lang w:val="x-none" w:eastAsia="x-none"/>
    </w:rPr>
  </w:style>
  <w:style w:type="paragraph" w:styleId="af0">
    <w:name w:val="Body Text"/>
    <w:basedOn w:val="a"/>
    <w:link w:val="af1"/>
    <w:uiPriority w:val="99"/>
    <w:unhideWhenUsed/>
    <w:rsid w:val="001A1029"/>
    <w:pPr>
      <w:spacing w:after="0" w:line="240" w:lineRule="auto"/>
      <w:jc w:val="both"/>
    </w:pPr>
    <w:rPr>
      <w:rFonts w:ascii="Times New Roman" w:eastAsia="Times New Roman" w:hAnsi="Times New Roman"/>
      <w:sz w:val="20"/>
      <w:szCs w:val="20"/>
      <w:lang w:val="x-none" w:eastAsia="x-none"/>
    </w:rPr>
  </w:style>
  <w:style w:type="character" w:customStyle="1" w:styleId="af1">
    <w:name w:val="Основной текст Знак"/>
    <w:basedOn w:val="a0"/>
    <w:link w:val="af0"/>
    <w:uiPriority w:val="99"/>
    <w:rsid w:val="001A1029"/>
    <w:rPr>
      <w:rFonts w:ascii="Times New Roman" w:eastAsia="Times New Roman" w:hAnsi="Times New Roman" w:cs="Times New Roman"/>
      <w:sz w:val="20"/>
      <w:szCs w:val="20"/>
      <w:lang w:val="x-none" w:eastAsia="x-none"/>
    </w:rPr>
  </w:style>
  <w:style w:type="paragraph" w:styleId="ae">
    <w:name w:val="Title"/>
    <w:basedOn w:val="a"/>
    <w:next w:val="a"/>
    <w:link w:val="11"/>
    <w:uiPriority w:val="10"/>
    <w:qFormat/>
    <w:rsid w:val="001A10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e"/>
    <w:uiPriority w:val="10"/>
    <w:rsid w:val="001A1029"/>
    <w:rPr>
      <w:rFonts w:asciiTheme="majorHAnsi" w:eastAsiaTheme="majorEastAsia" w:hAnsiTheme="majorHAnsi" w:cstheme="majorBidi"/>
      <w:spacing w:val="-10"/>
      <w:kern w:val="28"/>
      <w:sz w:val="56"/>
      <w:szCs w:val="56"/>
    </w:rPr>
  </w:style>
  <w:style w:type="paragraph" w:styleId="af2">
    <w:name w:val="Balloon Text"/>
    <w:basedOn w:val="a"/>
    <w:link w:val="af3"/>
    <w:uiPriority w:val="99"/>
    <w:semiHidden/>
    <w:unhideWhenUsed/>
    <w:rsid w:val="001E453F"/>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1E453F"/>
    <w:rPr>
      <w:rFonts w:ascii="Tahoma" w:eastAsia="Calibri" w:hAnsi="Tahoma" w:cs="Tahoma"/>
      <w:sz w:val="16"/>
      <w:szCs w:val="16"/>
    </w:rPr>
  </w:style>
  <w:style w:type="paragraph" w:styleId="af4">
    <w:name w:val="Normal (Web)"/>
    <w:basedOn w:val="a"/>
    <w:uiPriority w:val="99"/>
    <w:unhideWhenUsed/>
    <w:rsid w:val="00C21D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907B5F"/>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0F1"/>
    <w:pPr>
      <w:spacing w:after="200" w:line="276" w:lineRule="auto"/>
    </w:pPr>
    <w:rPr>
      <w:rFonts w:ascii="Calibri" w:eastAsia="Calibri" w:hAnsi="Calibri" w:cs="Times New Roman"/>
    </w:rPr>
  </w:style>
  <w:style w:type="paragraph" w:styleId="1">
    <w:name w:val="heading 1"/>
    <w:basedOn w:val="a"/>
    <w:next w:val="a"/>
    <w:link w:val="10"/>
    <w:uiPriority w:val="9"/>
    <w:qFormat/>
    <w:rsid w:val="00907B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маркированный,Абзац списка3"/>
    <w:basedOn w:val="a"/>
    <w:link w:val="a4"/>
    <w:uiPriority w:val="34"/>
    <w:qFormat/>
    <w:rsid w:val="00A820F1"/>
    <w:pPr>
      <w:ind w:left="720"/>
      <w:contextualSpacing/>
    </w:pPr>
    <w:rPr>
      <w:sz w:val="20"/>
      <w:szCs w:val="20"/>
      <w:lang w:val="x-none" w:eastAsia="x-none"/>
    </w:rPr>
  </w:style>
  <w:style w:type="character" w:customStyle="1" w:styleId="a4">
    <w:name w:val="Абзац списка Знак"/>
    <w:aliases w:val="List Paragraph (numbered (a)) Знак,маркированный Знак,Абзац списка3 Знак"/>
    <w:link w:val="a3"/>
    <w:uiPriority w:val="34"/>
    <w:locked/>
    <w:rsid w:val="00A820F1"/>
    <w:rPr>
      <w:rFonts w:ascii="Calibri" w:eastAsia="Calibri" w:hAnsi="Calibri" w:cs="Times New Roman"/>
      <w:sz w:val="20"/>
      <w:szCs w:val="20"/>
      <w:lang w:val="x-none" w:eastAsia="x-none"/>
    </w:rPr>
  </w:style>
  <w:style w:type="character" w:styleId="a5">
    <w:name w:val="Emphasis"/>
    <w:uiPriority w:val="20"/>
    <w:qFormat/>
    <w:rsid w:val="00A820F1"/>
    <w:rPr>
      <w:i/>
      <w:iCs/>
    </w:rPr>
  </w:style>
  <w:style w:type="character" w:styleId="a6">
    <w:name w:val="Hyperlink"/>
    <w:uiPriority w:val="99"/>
    <w:unhideWhenUsed/>
    <w:rsid w:val="00A820F1"/>
    <w:rPr>
      <w:color w:val="0000FF"/>
      <w:u w:val="single"/>
    </w:rPr>
  </w:style>
  <w:style w:type="paragraph" w:customStyle="1" w:styleId="TITULNameofprogect">
    <w:name w:val="TITUL Name of progect"/>
    <w:basedOn w:val="a"/>
    <w:rsid w:val="00A820F1"/>
    <w:pPr>
      <w:spacing w:after="0" w:line="240" w:lineRule="auto"/>
      <w:jc w:val="center"/>
    </w:pPr>
    <w:rPr>
      <w:rFonts w:ascii="Times New Roman" w:eastAsia="Times New Roman" w:hAnsi="Times New Roman" w:cs="Arial"/>
      <w:b/>
      <w:bCs/>
      <w:color w:val="000000"/>
      <w:kern w:val="16"/>
      <w:sz w:val="28"/>
      <w:szCs w:val="28"/>
      <w:lang w:val="en-GB" w:eastAsia="ru-RU"/>
    </w:rPr>
  </w:style>
  <w:style w:type="character" w:customStyle="1" w:styleId="a7">
    <w:name w:val="Заголовок Знак"/>
    <w:rsid w:val="00A820F1"/>
    <w:rPr>
      <w:rFonts w:ascii="Times New Roman" w:eastAsia="Times New Roman" w:hAnsi="Times New Roman"/>
      <w:sz w:val="28"/>
    </w:rPr>
  </w:style>
  <w:style w:type="paragraph" w:styleId="a8">
    <w:name w:val="No Spacing"/>
    <w:link w:val="a9"/>
    <w:uiPriority w:val="1"/>
    <w:qFormat/>
    <w:rsid w:val="00A820F1"/>
    <w:pPr>
      <w:spacing w:after="0" w:line="240" w:lineRule="auto"/>
    </w:pPr>
    <w:rPr>
      <w:rFonts w:ascii="Consolas" w:eastAsia="Consolas" w:hAnsi="Consolas" w:cs="Times New Roman"/>
      <w:lang w:val="en-US"/>
    </w:rPr>
  </w:style>
  <w:style w:type="character" w:customStyle="1" w:styleId="a9">
    <w:name w:val="Без интервала Знак"/>
    <w:link w:val="a8"/>
    <w:uiPriority w:val="1"/>
    <w:rsid w:val="00A820F1"/>
    <w:rPr>
      <w:rFonts w:ascii="Consolas" w:eastAsia="Consolas" w:hAnsi="Consolas" w:cs="Times New Roman"/>
      <w:lang w:val="en-US"/>
    </w:rPr>
  </w:style>
  <w:style w:type="paragraph" w:customStyle="1" w:styleId="Default">
    <w:name w:val="Default"/>
    <w:rsid w:val="00A820F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a">
    <w:name w:val="footer"/>
    <w:basedOn w:val="a"/>
    <w:link w:val="ab"/>
    <w:uiPriority w:val="99"/>
    <w:unhideWhenUsed/>
    <w:rsid w:val="00A820F1"/>
    <w:pPr>
      <w:tabs>
        <w:tab w:val="center" w:pos="4677"/>
        <w:tab w:val="right" w:pos="9355"/>
      </w:tabs>
    </w:pPr>
  </w:style>
  <w:style w:type="character" w:customStyle="1" w:styleId="ab">
    <w:name w:val="Нижний колонтитул Знак"/>
    <w:basedOn w:val="a0"/>
    <w:link w:val="aa"/>
    <w:uiPriority w:val="99"/>
    <w:rsid w:val="00A820F1"/>
    <w:rPr>
      <w:rFonts w:ascii="Calibri" w:eastAsia="Calibri" w:hAnsi="Calibri" w:cs="Times New Roman"/>
    </w:rPr>
  </w:style>
  <w:style w:type="character" w:customStyle="1" w:styleId="s0">
    <w:name w:val="s0"/>
    <w:rsid w:val="00A820F1"/>
    <w:rPr>
      <w:rFonts w:ascii="Times New Roman" w:hAnsi="Times New Roman" w:cs="Times New Roman"/>
      <w:b w:val="0"/>
      <w:bCs w:val="0"/>
      <w:i w:val="0"/>
      <w:iCs w:val="0"/>
      <w:strike w:val="0"/>
      <w:dstrike w:val="0"/>
      <w:color w:val="000000"/>
      <w:sz w:val="32"/>
      <w:szCs w:val="32"/>
      <w:u w:val="none"/>
    </w:rPr>
  </w:style>
  <w:style w:type="table" w:styleId="ac">
    <w:name w:val="Table Grid"/>
    <w:basedOn w:val="a1"/>
    <w:uiPriority w:val="39"/>
    <w:rsid w:val="00586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basedOn w:val="a"/>
    <w:next w:val="ae"/>
    <w:link w:val="af"/>
    <w:qFormat/>
    <w:rsid w:val="001A1029"/>
    <w:pPr>
      <w:spacing w:after="0" w:line="240" w:lineRule="auto"/>
      <w:jc w:val="center"/>
    </w:pPr>
    <w:rPr>
      <w:rFonts w:ascii="Times New Roman" w:eastAsia="Times New Roman" w:hAnsi="Times New Roman"/>
      <w:sz w:val="20"/>
      <w:szCs w:val="20"/>
      <w:lang w:val="x-none" w:eastAsia="x-none"/>
    </w:rPr>
  </w:style>
  <w:style w:type="character" w:customStyle="1" w:styleId="af">
    <w:name w:val="Название Знак"/>
    <w:link w:val="ad"/>
    <w:rsid w:val="001A1029"/>
    <w:rPr>
      <w:rFonts w:ascii="Times New Roman" w:eastAsia="Times New Roman" w:hAnsi="Times New Roman" w:cs="Times New Roman"/>
      <w:sz w:val="20"/>
      <w:szCs w:val="20"/>
      <w:lang w:val="x-none" w:eastAsia="x-none"/>
    </w:rPr>
  </w:style>
  <w:style w:type="paragraph" w:styleId="af0">
    <w:name w:val="Body Text"/>
    <w:basedOn w:val="a"/>
    <w:link w:val="af1"/>
    <w:uiPriority w:val="99"/>
    <w:unhideWhenUsed/>
    <w:rsid w:val="001A1029"/>
    <w:pPr>
      <w:spacing w:after="0" w:line="240" w:lineRule="auto"/>
      <w:jc w:val="both"/>
    </w:pPr>
    <w:rPr>
      <w:rFonts w:ascii="Times New Roman" w:eastAsia="Times New Roman" w:hAnsi="Times New Roman"/>
      <w:sz w:val="20"/>
      <w:szCs w:val="20"/>
      <w:lang w:val="x-none" w:eastAsia="x-none"/>
    </w:rPr>
  </w:style>
  <w:style w:type="character" w:customStyle="1" w:styleId="af1">
    <w:name w:val="Основной текст Знак"/>
    <w:basedOn w:val="a0"/>
    <w:link w:val="af0"/>
    <w:uiPriority w:val="99"/>
    <w:rsid w:val="001A1029"/>
    <w:rPr>
      <w:rFonts w:ascii="Times New Roman" w:eastAsia="Times New Roman" w:hAnsi="Times New Roman" w:cs="Times New Roman"/>
      <w:sz w:val="20"/>
      <w:szCs w:val="20"/>
      <w:lang w:val="x-none" w:eastAsia="x-none"/>
    </w:rPr>
  </w:style>
  <w:style w:type="paragraph" w:styleId="ae">
    <w:name w:val="Title"/>
    <w:basedOn w:val="a"/>
    <w:next w:val="a"/>
    <w:link w:val="11"/>
    <w:uiPriority w:val="10"/>
    <w:qFormat/>
    <w:rsid w:val="001A10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e"/>
    <w:uiPriority w:val="10"/>
    <w:rsid w:val="001A1029"/>
    <w:rPr>
      <w:rFonts w:asciiTheme="majorHAnsi" w:eastAsiaTheme="majorEastAsia" w:hAnsiTheme="majorHAnsi" w:cstheme="majorBidi"/>
      <w:spacing w:val="-10"/>
      <w:kern w:val="28"/>
      <w:sz w:val="56"/>
      <w:szCs w:val="56"/>
    </w:rPr>
  </w:style>
  <w:style w:type="paragraph" w:styleId="af2">
    <w:name w:val="Balloon Text"/>
    <w:basedOn w:val="a"/>
    <w:link w:val="af3"/>
    <w:uiPriority w:val="99"/>
    <w:semiHidden/>
    <w:unhideWhenUsed/>
    <w:rsid w:val="001E453F"/>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1E453F"/>
    <w:rPr>
      <w:rFonts w:ascii="Tahoma" w:eastAsia="Calibri" w:hAnsi="Tahoma" w:cs="Tahoma"/>
      <w:sz w:val="16"/>
      <w:szCs w:val="16"/>
    </w:rPr>
  </w:style>
  <w:style w:type="paragraph" w:styleId="af4">
    <w:name w:val="Normal (Web)"/>
    <w:basedOn w:val="a"/>
    <w:uiPriority w:val="99"/>
    <w:unhideWhenUsed/>
    <w:rsid w:val="00C21D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907B5F"/>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91186">
      <w:bodyDiv w:val="1"/>
      <w:marLeft w:val="0"/>
      <w:marRight w:val="0"/>
      <w:marTop w:val="0"/>
      <w:marBottom w:val="0"/>
      <w:divBdr>
        <w:top w:val="none" w:sz="0" w:space="0" w:color="auto"/>
        <w:left w:val="none" w:sz="0" w:space="0" w:color="auto"/>
        <w:bottom w:val="none" w:sz="0" w:space="0" w:color="auto"/>
        <w:right w:val="none" w:sz="0" w:space="0" w:color="auto"/>
      </w:divBdr>
    </w:div>
    <w:div w:id="651493940">
      <w:bodyDiv w:val="1"/>
      <w:marLeft w:val="0"/>
      <w:marRight w:val="0"/>
      <w:marTop w:val="0"/>
      <w:marBottom w:val="0"/>
      <w:divBdr>
        <w:top w:val="none" w:sz="0" w:space="0" w:color="auto"/>
        <w:left w:val="none" w:sz="0" w:space="0" w:color="auto"/>
        <w:bottom w:val="none" w:sz="0" w:space="0" w:color="auto"/>
        <w:right w:val="none" w:sz="0" w:space="0" w:color="auto"/>
      </w:divBdr>
    </w:div>
    <w:div w:id="876701839">
      <w:bodyDiv w:val="1"/>
      <w:marLeft w:val="0"/>
      <w:marRight w:val="0"/>
      <w:marTop w:val="0"/>
      <w:marBottom w:val="0"/>
      <w:divBdr>
        <w:top w:val="none" w:sz="0" w:space="0" w:color="auto"/>
        <w:left w:val="none" w:sz="0" w:space="0" w:color="auto"/>
        <w:bottom w:val="none" w:sz="0" w:space="0" w:color="auto"/>
        <w:right w:val="none" w:sz="0" w:space="0" w:color="auto"/>
      </w:divBdr>
    </w:div>
    <w:div w:id="1146972328">
      <w:bodyDiv w:val="1"/>
      <w:marLeft w:val="0"/>
      <w:marRight w:val="0"/>
      <w:marTop w:val="0"/>
      <w:marBottom w:val="0"/>
      <w:divBdr>
        <w:top w:val="none" w:sz="0" w:space="0" w:color="auto"/>
        <w:left w:val="none" w:sz="0" w:space="0" w:color="auto"/>
        <w:bottom w:val="none" w:sz="0" w:space="0" w:color="auto"/>
        <w:right w:val="none" w:sz="0" w:space="0" w:color="auto"/>
      </w:divBdr>
    </w:div>
    <w:div w:id="1594238732">
      <w:bodyDiv w:val="1"/>
      <w:marLeft w:val="0"/>
      <w:marRight w:val="0"/>
      <w:marTop w:val="0"/>
      <w:marBottom w:val="0"/>
      <w:divBdr>
        <w:top w:val="none" w:sz="0" w:space="0" w:color="auto"/>
        <w:left w:val="none" w:sz="0" w:space="0" w:color="auto"/>
        <w:bottom w:val="none" w:sz="0" w:space="0" w:color="auto"/>
        <w:right w:val="none" w:sz="0" w:space="0" w:color="auto"/>
      </w:divBdr>
    </w:div>
    <w:div w:id="1820611318">
      <w:bodyDiv w:val="1"/>
      <w:marLeft w:val="0"/>
      <w:marRight w:val="0"/>
      <w:marTop w:val="0"/>
      <w:marBottom w:val="0"/>
      <w:divBdr>
        <w:top w:val="none" w:sz="0" w:space="0" w:color="auto"/>
        <w:left w:val="none" w:sz="0" w:space="0" w:color="auto"/>
        <w:bottom w:val="none" w:sz="0" w:space="0" w:color="auto"/>
        <w:right w:val="none" w:sz="0" w:space="0" w:color="auto"/>
      </w:divBdr>
      <w:divsChild>
        <w:div w:id="2110004125">
          <w:marLeft w:val="0"/>
          <w:marRight w:val="0"/>
          <w:marTop w:val="0"/>
          <w:marBottom w:val="0"/>
          <w:divBdr>
            <w:top w:val="none" w:sz="0" w:space="0" w:color="auto"/>
            <w:left w:val="none" w:sz="0" w:space="0" w:color="auto"/>
            <w:bottom w:val="none" w:sz="0" w:space="0" w:color="auto"/>
            <w:right w:val="none" w:sz="0" w:space="0" w:color="auto"/>
          </w:divBdr>
          <w:divsChild>
            <w:div w:id="710346766">
              <w:marLeft w:val="0"/>
              <w:marRight w:val="0"/>
              <w:marTop w:val="0"/>
              <w:marBottom w:val="0"/>
              <w:divBdr>
                <w:top w:val="none" w:sz="0" w:space="0" w:color="auto"/>
                <w:left w:val="none" w:sz="0" w:space="0" w:color="auto"/>
                <w:bottom w:val="none" w:sz="0" w:space="0" w:color="auto"/>
                <w:right w:val="none" w:sz="0" w:space="0" w:color="auto"/>
              </w:divBdr>
              <w:divsChild>
                <w:div w:id="351810618">
                  <w:marLeft w:val="0"/>
                  <w:marRight w:val="0"/>
                  <w:marTop w:val="0"/>
                  <w:marBottom w:val="0"/>
                  <w:divBdr>
                    <w:top w:val="none" w:sz="0" w:space="0" w:color="auto"/>
                    <w:left w:val="none" w:sz="0" w:space="0" w:color="auto"/>
                    <w:bottom w:val="none" w:sz="0" w:space="0" w:color="auto"/>
                    <w:right w:val="none" w:sz="0" w:space="0" w:color="auto"/>
                  </w:divBdr>
                  <w:divsChild>
                    <w:div w:id="1222794143">
                      <w:marLeft w:val="0"/>
                      <w:marRight w:val="0"/>
                      <w:marTop w:val="0"/>
                      <w:marBottom w:val="0"/>
                      <w:divBdr>
                        <w:top w:val="none" w:sz="0" w:space="0" w:color="auto"/>
                        <w:left w:val="none" w:sz="0" w:space="0" w:color="auto"/>
                        <w:bottom w:val="none" w:sz="0" w:space="0" w:color="auto"/>
                        <w:right w:val="none" w:sz="0" w:space="0" w:color="auto"/>
                      </w:divBdr>
                      <w:divsChild>
                        <w:div w:id="1522012024">
                          <w:marLeft w:val="0"/>
                          <w:marRight w:val="0"/>
                          <w:marTop w:val="0"/>
                          <w:marBottom w:val="0"/>
                          <w:divBdr>
                            <w:top w:val="none" w:sz="0" w:space="0" w:color="auto"/>
                            <w:left w:val="none" w:sz="0" w:space="0" w:color="auto"/>
                            <w:bottom w:val="none" w:sz="0" w:space="0" w:color="auto"/>
                            <w:right w:val="none" w:sz="0" w:space="0" w:color="auto"/>
                          </w:divBdr>
                          <w:divsChild>
                            <w:div w:id="20591515">
                              <w:marLeft w:val="0"/>
                              <w:marRight w:val="0"/>
                              <w:marTop w:val="0"/>
                              <w:marBottom w:val="0"/>
                              <w:divBdr>
                                <w:top w:val="none" w:sz="0" w:space="0" w:color="auto"/>
                                <w:left w:val="none" w:sz="0" w:space="0" w:color="auto"/>
                                <w:bottom w:val="none" w:sz="0" w:space="0" w:color="auto"/>
                                <w:right w:val="none" w:sz="0" w:space="0" w:color="auto"/>
                              </w:divBdr>
                            </w:div>
                          </w:divsChild>
                        </w:div>
                        <w:div w:id="1725836837">
                          <w:marLeft w:val="0"/>
                          <w:marRight w:val="0"/>
                          <w:marTop w:val="0"/>
                          <w:marBottom w:val="0"/>
                          <w:divBdr>
                            <w:top w:val="none" w:sz="0" w:space="0" w:color="auto"/>
                            <w:left w:val="none" w:sz="0" w:space="0" w:color="auto"/>
                            <w:bottom w:val="none" w:sz="0" w:space="0" w:color="auto"/>
                            <w:right w:val="none" w:sz="0" w:space="0" w:color="auto"/>
                          </w:divBdr>
                          <w:divsChild>
                            <w:div w:id="1108962688">
                              <w:marLeft w:val="0"/>
                              <w:marRight w:val="300"/>
                              <w:marTop w:val="180"/>
                              <w:marBottom w:val="0"/>
                              <w:divBdr>
                                <w:top w:val="none" w:sz="0" w:space="0" w:color="auto"/>
                                <w:left w:val="none" w:sz="0" w:space="0" w:color="auto"/>
                                <w:bottom w:val="none" w:sz="0" w:space="0" w:color="auto"/>
                                <w:right w:val="none" w:sz="0" w:space="0" w:color="auto"/>
                              </w:divBdr>
                              <w:divsChild>
                                <w:div w:id="21068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984795">
          <w:marLeft w:val="0"/>
          <w:marRight w:val="0"/>
          <w:marTop w:val="0"/>
          <w:marBottom w:val="0"/>
          <w:divBdr>
            <w:top w:val="none" w:sz="0" w:space="0" w:color="auto"/>
            <w:left w:val="none" w:sz="0" w:space="0" w:color="auto"/>
            <w:bottom w:val="none" w:sz="0" w:space="0" w:color="auto"/>
            <w:right w:val="none" w:sz="0" w:space="0" w:color="auto"/>
          </w:divBdr>
          <w:divsChild>
            <w:div w:id="1218128478">
              <w:marLeft w:val="0"/>
              <w:marRight w:val="0"/>
              <w:marTop w:val="0"/>
              <w:marBottom w:val="0"/>
              <w:divBdr>
                <w:top w:val="none" w:sz="0" w:space="0" w:color="auto"/>
                <w:left w:val="none" w:sz="0" w:space="0" w:color="auto"/>
                <w:bottom w:val="none" w:sz="0" w:space="0" w:color="auto"/>
                <w:right w:val="none" w:sz="0" w:space="0" w:color="auto"/>
              </w:divBdr>
              <w:divsChild>
                <w:div w:id="1651251420">
                  <w:marLeft w:val="0"/>
                  <w:marRight w:val="0"/>
                  <w:marTop w:val="0"/>
                  <w:marBottom w:val="0"/>
                  <w:divBdr>
                    <w:top w:val="none" w:sz="0" w:space="0" w:color="auto"/>
                    <w:left w:val="none" w:sz="0" w:space="0" w:color="auto"/>
                    <w:bottom w:val="none" w:sz="0" w:space="0" w:color="auto"/>
                    <w:right w:val="none" w:sz="0" w:space="0" w:color="auto"/>
                  </w:divBdr>
                  <w:divsChild>
                    <w:div w:id="2074741827">
                      <w:marLeft w:val="0"/>
                      <w:marRight w:val="0"/>
                      <w:marTop w:val="0"/>
                      <w:marBottom w:val="0"/>
                      <w:divBdr>
                        <w:top w:val="none" w:sz="0" w:space="0" w:color="auto"/>
                        <w:left w:val="none" w:sz="0" w:space="0" w:color="auto"/>
                        <w:bottom w:val="none" w:sz="0" w:space="0" w:color="auto"/>
                        <w:right w:val="none" w:sz="0" w:space="0" w:color="auto"/>
                      </w:divBdr>
                      <w:divsChild>
                        <w:div w:id="19395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ltitran.com/m.exe?s=pine+forest&amp;l1=1&amp;l2=2" TargetMode="External"/><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image" Target="media/image3.emf"/><Relationship Id="rId39"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s://www.multitran.com/m.exe?s=tending+felling&amp;l1=1&amp;l2=2" TargetMode="External"/><Relationship Id="rId34" Type="http://schemas.openxmlformats.org/officeDocument/2006/relationships/chart" Target="charts/chart15.xml"/><Relationship Id="rId42"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www.multitran.com/m.exe?s=throw&amp;l1=1&amp;l2=2" TargetMode="External"/><Relationship Id="rId25" Type="http://schemas.openxmlformats.org/officeDocument/2006/relationships/chart" Target="charts/chart10.xml"/><Relationship Id="rId33" Type="http://schemas.openxmlformats.org/officeDocument/2006/relationships/image" Target="media/image6.emf"/><Relationship Id="rId38" Type="http://schemas.openxmlformats.org/officeDocument/2006/relationships/image" Target="media/image7.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s://www.multitran.com/m.exe?s=tending+felling&amp;l1=1&amp;l2=2" TargetMode="External"/><Relationship Id="rId29" Type="http://schemas.openxmlformats.org/officeDocument/2006/relationships/chart" Target="charts/chart13.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2.emf"/><Relationship Id="rId32" Type="http://schemas.openxmlformats.org/officeDocument/2006/relationships/image" Target="media/image5.emf"/><Relationship Id="rId37" Type="http://schemas.openxmlformats.org/officeDocument/2006/relationships/hyperlink" Target="https://www.multitran.com/m.exe?s=pine+forest&amp;l1=1&amp;l2=2" TargetMode="External"/><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www.multitran.com/m.exe?s=tending+felling&amp;l1=1&amp;l2=2" TargetMode="External"/><Relationship Id="rId28" Type="http://schemas.openxmlformats.org/officeDocument/2006/relationships/chart" Target="charts/chart12.xml"/><Relationship Id="rId36" Type="http://schemas.openxmlformats.org/officeDocument/2006/relationships/chart" Target="charts/chart17.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ultitran.com/m.exe?s=stand&amp;l1=1&amp;l2=2" TargetMode="External"/><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6.xml"/><Relationship Id="rId43"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4;&#1086;&#1084;\Desktop\&#1043;&#1088;&#1072;&#1085;&#1090;%20&#1040;&#1056;05131107%20&#1085;&#1072;%202018-2020%20&#1075;&#1075;\2018\&#1054;&#1073;&#1088;&#1072;&#1073;&#1086;&#1090;&#1082;&#1072;%20&#1076;&#1072;&#1085;&#1085;&#1099;&#1093;%20&#1044;&#1045;&#1053;&#1044;&#1056;&#1054;,%20&#1075;&#1088;&#1072;&#1085;&#1090;,%202018\&#1050;&#1051;&#1048;&#1052;&#1040;&#1058;\&#1052;&#1072;&#1083;&#1099;&#1077;%20&#1058;&#1102;&#1082;&#1090;&#1099;,%20MTK\MTK7_tab.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esktop\&#1050;&#1085;&#1080;&#1075;&#1072;1.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User\Desktop\&#1057;&#1077;&#1084;&#1077;&#108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User\Desktop\&#1057;&#1077;&#1084;&#1077;&#1081;.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User\Desktop\&#1057;&#1077;&#1084;&#1077;&#1081;.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User\Desktop\&#1057;&#1077;&#1084;&#1077;&#1081;.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4;&#1086;&#1084;\Desktop\&#1043;&#1088;&#1072;&#1085;&#1090;%20&#1040;&#1056;05131107%20&#1085;&#1072;%202018-2020%20&#1075;&#1075;\2018\&#1054;&#1073;&#1088;&#1072;&#1073;&#1086;&#1090;&#1082;&#1072;%20&#1076;&#1072;&#1085;&#1085;&#1099;&#1093;%20&#1044;&#1045;&#1053;&#1044;&#1056;&#1054;,%20&#1075;&#1088;&#1072;&#1085;&#1090;,%202018\&#1050;&#1051;&#1048;&#1052;&#1040;&#1058;\&#1059;&#1088;&#1091;&#1084;&#1082;&#1072;&#1081;,%20YRK\yrk2_tab.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4;&#1086;&#1084;\Desktop\&#1043;&#1088;&#1072;&#1085;&#1090;%20&#1040;&#1056;05131107%20&#1085;&#1072;%202018-2020%20&#1075;&#1075;\2018\&#1054;&#1073;&#1088;&#1072;&#1073;&#1086;&#1090;&#1082;&#1072;%20&#1076;&#1072;&#1085;&#1085;&#1099;&#1093;%20&#1044;&#1045;&#1053;&#1044;&#1056;&#1054;,%20&#1075;&#1088;&#1072;&#1085;&#1090;,%202018\&#1050;&#1051;&#1048;&#1052;&#1040;&#1058;\&#1057;&#1077;&#1084;&#1077;&#1081;,%20SKL\SKL4Ktab.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1050;&#1085;&#1080;&#1075;&#1072;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339497392128974E-2"/>
          <c:y val="6.8085247849999683E-2"/>
          <c:w val="0.86012387854078698"/>
          <c:h val="0.63404387060312206"/>
        </c:manualLayout>
      </c:layout>
      <c:scatterChart>
        <c:scatterStyle val="lineMarker"/>
        <c:varyColors val="0"/>
        <c:ser>
          <c:idx val="1"/>
          <c:order val="1"/>
          <c:tx>
            <c:strRef>
              <c:f>MTK7K!$G$1</c:f>
              <c:strCache>
                <c:ptCount val="1"/>
                <c:pt idx="0">
                  <c:v>res</c:v>
                </c:pt>
              </c:strCache>
            </c:strRef>
          </c:tx>
          <c:spPr>
            <a:ln w="12700">
              <a:solidFill>
                <a:srgbClr val="000000"/>
              </a:solidFill>
              <a:prstDash val="solid"/>
            </a:ln>
          </c:spPr>
          <c:marker>
            <c:symbol val="none"/>
          </c:marker>
          <c:xVal>
            <c:numRef>
              <c:f>MTK7K!$A$2:$A$153</c:f>
              <c:numCache>
                <c:formatCode>General</c:formatCode>
                <c:ptCount val="152"/>
                <c:pt idx="0">
                  <c:v>1866</c:v>
                </c:pt>
                <c:pt idx="1">
                  <c:v>1867</c:v>
                </c:pt>
                <c:pt idx="2">
                  <c:v>1868</c:v>
                </c:pt>
                <c:pt idx="3">
                  <c:v>1869</c:v>
                </c:pt>
                <c:pt idx="4">
                  <c:v>1870</c:v>
                </c:pt>
                <c:pt idx="5">
                  <c:v>1871</c:v>
                </c:pt>
                <c:pt idx="6">
                  <c:v>1872</c:v>
                </c:pt>
                <c:pt idx="7">
                  <c:v>1873</c:v>
                </c:pt>
                <c:pt idx="8">
                  <c:v>1874</c:v>
                </c:pt>
                <c:pt idx="9">
                  <c:v>1875</c:v>
                </c:pt>
                <c:pt idx="10">
                  <c:v>1876</c:v>
                </c:pt>
                <c:pt idx="11">
                  <c:v>1877</c:v>
                </c:pt>
                <c:pt idx="12">
                  <c:v>1878</c:v>
                </c:pt>
                <c:pt idx="13">
                  <c:v>1879</c:v>
                </c:pt>
                <c:pt idx="14">
                  <c:v>1880</c:v>
                </c:pt>
                <c:pt idx="15">
                  <c:v>1881</c:v>
                </c:pt>
                <c:pt idx="16">
                  <c:v>1882</c:v>
                </c:pt>
                <c:pt idx="17">
                  <c:v>1883</c:v>
                </c:pt>
                <c:pt idx="18">
                  <c:v>1884</c:v>
                </c:pt>
                <c:pt idx="19">
                  <c:v>1885</c:v>
                </c:pt>
                <c:pt idx="20">
                  <c:v>1886</c:v>
                </c:pt>
                <c:pt idx="21">
                  <c:v>1887</c:v>
                </c:pt>
                <c:pt idx="22">
                  <c:v>1888</c:v>
                </c:pt>
                <c:pt idx="23">
                  <c:v>1889</c:v>
                </c:pt>
                <c:pt idx="24">
                  <c:v>1890</c:v>
                </c:pt>
                <c:pt idx="25">
                  <c:v>1891</c:v>
                </c:pt>
                <c:pt idx="26">
                  <c:v>1892</c:v>
                </c:pt>
                <c:pt idx="27">
                  <c:v>1893</c:v>
                </c:pt>
                <c:pt idx="28">
                  <c:v>1894</c:v>
                </c:pt>
                <c:pt idx="29">
                  <c:v>1895</c:v>
                </c:pt>
                <c:pt idx="30">
                  <c:v>1896</c:v>
                </c:pt>
                <c:pt idx="31">
                  <c:v>1897</c:v>
                </c:pt>
                <c:pt idx="32">
                  <c:v>1898</c:v>
                </c:pt>
                <c:pt idx="33">
                  <c:v>1899</c:v>
                </c:pt>
                <c:pt idx="34">
                  <c:v>1900</c:v>
                </c:pt>
                <c:pt idx="35">
                  <c:v>1901</c:v>
                </c:pt>
                <c:pt idx="36">
                  <c:v>1902</c:v>
                </c:pt>
                <c:pt idx="37">
                  <c:v>1903</c:v>
                </c:pt>
                <c:pt idx="38">
                  <c:v>1904</c:v>
                </c:pt>
                <c:pt idx="39">
                  <c:v>1905</c:v>
                </c:pt>
                <c:pt idx="40">
                  <c:v>1906</c:v>
                </c:pt>
                <c:pt idx="41">
                  <c:v>1907</c:v>
                </c:pt>
                <c:pt idx="42">
                  <c:v>1908</c:v>
                </c:pt>
                <c:pt idx="43">
                  <c:v>1909</c:v>
                </c:pt>
                <c:pt idx="44">
                  <c:v>1910</c:v>
                </c:pt>
                <c:pt idx="45">
                  <c:v>1911</c:v>
                </c:pt>
                <c:pt idx="46">
                  <c:v>1912</c:v>
                </c:pt>
                <c:pt idx="47">
                  <c:v>1913</c:v>
                </c:pt>
                <c:pt idx="48">
                  <c:v>1914</c:v>
                </c:pt>
                <c:pt idx="49">
                  <c:v>1915</c:v>
                </c:pt>
                <c:pt idx="50">
                  <c:v>1916</c:v>
                </c:pt>
                <c:pt idx="51">
                  <c:v>1917</c:v>
                </c:pt>
                <c:pt idx="52">
                  <c:v>1918</c:v>
                </c:pt>
                <c:pt idx="53">
                  <c:v>1919</c:v>
                </c:pt>
                <c:pt idx="54">
                  <c:v>1920</c:v>
                </c:pt>
                <c:pt idx="55">
                  <c:v>1921</c:v>
                </c:pt>
                <c:pt idx="56">
                  <c:v>1922</c:v>
                </c:pt>
                <c:pt idx="57">
                  <c:v>1923</c:v>
                </c:pt>
                <c:pt idx="58">
                  <c:v>1924</c:v>
                </c:pt>
                <c:pt idx="59">
                  <c:v>1925</c:v>
                </c:pt>
                <c:pt idx="60">
                  <c:v>1926</c:v>
                </c:pt>
                <c:pt idx="61">
                  <c:v>1927</c:v>
                </c:pt>
                <c:pt idx="62">
                  <c:v>1928</c:v>
                </c:pt>
                <c:pt idx="63">
                  <c:v>1929</c:v>
                </c:pt>
                <c:pt idx="64">
                  <c:v>1930</c:v>
                </c:pt>
                <c:pt idx="65">
                  <c:v>1931</c:v>
                </c:pt>
                <c:pt idx="66">
                  <c:v>1932</c:v>
                </c:pt>
                <c:pt idx="67">
                  <c:v>1933</c:v>
                </c:pt>
                <c:pt idx="68">
                  <c:v>1934</c:v>
                </c:pt>
                <c:pt idx="69">
                  <c:v>1935</c:v>
                </c:pt>
                <c:pt idx="70">
                  <c:v>1936</c:v>
                </c:pt>
                <c:pt idx="71">
                  <c:v>1937</c:v>
                </c:pt>
                <c:pt idx="72">
                  <c:v>1938</c:v>
                </c:pt>
                <c:pt idx="73">
                  <c:v>1939</c:v>
                </c:pt>
                <c:pt idx="74">
                  <c:v>1940</c:v>
                </c:pt>
                <c:pt idx="75">
                  <c:v>1941</c:v>
                </c:pt>
                <c:pt idx="76">
                  <c:v>1942</c:v>
                </c:pt>
                <c:pt idx="77">
                  <c:v>1943</c:v>
                </c:pt>
                <c:pt idx="78">
                  <c:v>1944</c:v>
                </c:pt>
                <c:pt idx="79">
                  <c:v>1945</c:v>
                </c:pt>
                <c:pt idx="80">
                  <c:v>1946</c:v>
                </c:pt>
                <c:pt idx="81">
                  <c:v>1947</c:v>
                </c:pt>
                <c:pt idx="82">
                  <c:v>1948</c:v>
                </c:pt>
                <c:pt idx="83">
                  <c:v>1949</c:v>
                </c:pt>
                <c:pt idx="84">
                  <c:v>1950</c:v>
                </c:pt>
                <c:pt idx="85">
                  <c:v>1951</c:v>
                </c:pt>
                <c:pt idx="86">
                  <c:v>1952</c:v>
                </c:pt>
                <c:pt idx="87">
                  <c:v>1953</c:v>
                </c:pt>
                <c:pt idx="88">
                  <c:v>1954</c:v>
                </c:pt>
                <c:pt idx="89">
                  <c:v>1955</c:v>
                </c:pt>
                <c:pt idx="90">
                  <c:v>1956</c:v>
                </c:pt>
                <c:pt idx="91">
                  <c:v>1957</c:v>
                </c:pt>
                <c:pt idx="92">
                  <c:v>1958</c:v>
                </c:pt>
                <c:pt idx="93">
                  <c:v>1959</c:v>
                </c:pt>
                <c:pt idx="94">
                  <c:v>1960</c:v>
                </c:pt>
                <c:pt idx="95">
                  <c:v>1961</c:v>
                </c:pt>
                <c:pt idx="96">
                  <c:v>1962</c:v>
                </c:pt>
                <c:pt idx="97">
                  <c:v>1963</c:v>
                </c:pt>
                <c:pt idx="98">
                  <c:v>1964</c:v>
                </c:pt>
                <c:pt idx="99">
                  <c:v>1965</c:v>
                </c:pt>
                <c:pt idx="100">
                  <c:v>1966</c:v>
                </c:pt>
                <c:pt idx="101">
                  <c:v>1967</c:v>
                </c:pt>
                <c:pt idx="102">
                  <c:v>1968</c:v>
                </c:pt>
                <c:pt idx="103">
                  <c:v>1969</c:v>
                </c:pt>
                <c:pt idx="104">
                  <c:v>1970</c:v>
                </c:pt>
                <c:pt idx="105">
                  <c:v>1971</c:v>
                </c:pt>
                <c:pt idx="106">
                  <c:v>1972</c:v>
                </c:pt>
                <c:pt idx="107">
                  <c:v>1973</c:v>
                </c:pt>
                <c:pt idx="108">
                  <c:v>1974</c:v>
                </c:pt>
                <c:pt idx="109">
                  <c:v>1975</c:v>
                </c:pt>
                <c:pt idx="110">
                  <c:v>1976</c:v>
                </c:pt>
                <c:pt idx="111">
                  <c:v>1977</c:v>
                </c:pt>
                <c:pt idx="112">
                  <c:v>1978</c:v>
                </c:pt>
                <c:pt idx="113">
                  <c:v>1979</c:v>
                </c:pt>
                <c:pt idx="114">
                  <c:v>1980</c:v>
                </c:pt>
                <c:pt idx="115">
                  <c:v>1981</c:v>
                </c:pt>
                <c:pt idx="116">
                  <c:v>1982</c:v>
                </c:pt>
                <c:pt idx="117">
                  <c:v>1983</c:v>
                </c:pt>
                <c:pt idx="118">
                  <c:v>1984</c:v>
                </c:pt>
                <c:pt idx="119">
                  <c:v>1985</c:v>
                </c:pt>
                <c:pt idx="120">
                  <c:v>1986</c:v>
                </c:pt>
                <c:pt idx="121">
                  <c:v>1987</c:v>
                </c:pt>
                <c:pt idx="122">
                  <c:v>1988</c:v>
                </c:pt>
                <c:pt idx="123">
                  <c:v>1989</c:v>
                </c:pt>
                <c:pt idx="124">
                  <c:v>1990</c:v>
                </c:pt>
                <c:pt idx="125">
                  <c:v>1991</c:v>
                </c:pt>
                <c:pt idx="126">
                  <c:v>1992</c:v>
                </c:pt>
                <c:pt idx="127">
                  <c:v>1993</c:v>
                </c:pt>
                <c:pt idx="128">
                  <c:v>1994</c:v>
                </c:pt>
                <c:pt idx="129">
                  <c:v>1995</c:v>
                </c:pt>
                <c:pt idx="130">
                  <c:v>1996</c:v>
                </c:pt>
                <c:pt idx="131">
                  <c:v>1997</c:v>
                </c:pt>
                <c:pt idx="132">
                  <c:v>1998</c:v>
                </c:pt>
                <c:pt idx="133">
                  <c:v>1999</c:v>
                </c:pt>
                <c:pt idx="134">
                  <c:v>2000</c:v>
                </c:pt>
                <c:pt idx="135">
                  <c:v>2001</c:v>
                </c:pt>
                <c:pt idx="136">
                  <c:v>2002</c:v>
                </c:pt>
                <c:pt idx="137">
                  <c:v>2003</c:v>
                </c:pt>
                <c:pt idx="138">
                  <c:v>2004</c:v>
                </c:pt>
                <c:pt idx="139">
                  <c:v>2005</c:v>
                </c:pt>
                <c:pt idx="140">
                  <c:v>2006</c:v>
                </c:pt>
                <c:pt idx="141">
                  <c:v>2007</c:v>
                </c:pt>
                <c:pt idx="142">
                  <c:v>2008</c:v>
                </c:pt>
                <c:pt idx="143">
                  <c:v>2009</c:v>
                </c:pt>
                <c:pt idx="144">
                  <c:v>2010</c:v>
                </c:pt>
                <c:pt idx="145">
                  <c:v>2011</c:v>
                </c:pt>
                <c:pt idx="146">
                  <c:v>2012</c:v>
                </c:pt>
                <c:pt idx="147">
                  <c:v>2013</c:v>
                </c:pt>
                <c:pt idx="148">
                  <c:v>2014</c:v>
                </c:pt>
                <c:pt idx="149">
                  <c:v>2015</c:v>
                </c:pt>
                <c:pt idx="150">
                  <c:v>2016</c:v>
                </c:pt>
                <c:pt idx="151">
                  <c:v>2017</c:v>
                </c:pt>
              </c:numCache>
            </c:numRef>
          </c:xVal>
          <c:yVal>
            <c:numRef>
              <c:f>MTK7K!$G$2:$G$153</c:f>
              <c:numCache>
                <c:formatCode>General</c:formatCode>
                <c:ptCount val="152"/>
                <c:pt idx="0">
                  <c:v>1.075</c:v>
                </c:pt>
                <c:pt idx="1">
                  <c:v>0.50900000000000001</c:v>
                </c:pt>
                <c:pt idx="2">
                  <c:v>0.995</c:v>
                </c:pt>
                <c:pt idx="3">
                  <c:v>1.3109999999999999</c:v>
                </c:pt>
                <c:pt idx="4">
                  <c:v>0.97799999999999998</c:v>
                </c:pt>
                <c:pt idx="5">
                  <c:v>0.71</c:v>
                </c:pt>
                <c:pt idx="6">
                  <c:v>1.1240000000000001</c:v>
                </c:pt>
                <c:pt idx="7">
                  <c:v>0.69699999999999995</c:v>
                </c:pt>
                <c:pt idx="8">
                  <c:v>0.78800000000000003</c:v>
                </c:pt>
                <c:pt idx="9">
                  <c:v>0.89600000000000002</c:v>
                </c:pt>
                <c:pt idx="10">
                  <c:v>1.0720000000000001</c:v>
                </c:pt>
                <c:pt idx="11">
                  <c:v>1.353</c:v>
                </c:pt>
                <c:pt idx="12">
                  <c:v>1.0960000000000001</c:v>
                </c:pt>
                <c:pt idx="13">
                  <c:v>0.80500000000000005</c:v>
                </c:pt>
                <c:pt idx="14">
                  <c:v>1.3560000000000001</c:v>
                </c:pt>
                <c:pt idx="15">
                  <c:v>0.79600000000000004</c:v>
                </c:pt>
                <c:pt idx="16">
                  <c:v>0.90200000000000002</c:v>
                </c:pt>
                <c:pt idx="17">
                  <c:v>0.871</c:v>
                </c:pt>
                <c:pt idx="18">
                  <c:v>1.1399999999999999</c:v>
                </c:pt>
                <c:pt idx="19">
                  <c:v>1.054</c:v>
                </c:pt>
                <c:pt idx="20">
                  <c:v>1.1259999999999999</c:v>
                </c:pt>
                <c:pt idx="21">
                  <c:v>1.1990000000000001</c:v>
                </c:pt>
                <c:pt idx="22">
                  <c:v>0.82</c:v>
                </c:pt>
                <c:pt idx="23">
                  <c:v>1.59</c:v>
                </c:pt>
                <c:pt idx="24">
                  <c:v>0.65400000000000003</c:v>
                </c:pt>
                <c:pt idx="25">
                  <c:v>0.65100000000000002</c:v>
                </c:pt>
                <c:pt idx="26">
                  <c:v>0.73599999999999999</c:v>
                </c:pt>
                <c:pt idx="27">
                  <c:v>0.81899999999999995</c:v>
                </c:pt>
                <c:pt idx="28">
                  <c:v>1.244</c:v>
                </c:pt>
                <c:pt idx="29">
                  <c:v>1.3140000000000001</c:v>
                </c:pt>
                <c:pt idx="30">
                  <c:v>0.98399999999999999</c:v>
                </c:pt>
                <c:pt idx="31">
                  <c:v>1.05</c:v>
                </c:pt>
                <c:pt idx="32">
                  <c:v>1.1379999999999999</c:v>
                </c:pt>
                <c:pt idx="33">
                  <c:v>1.091</c:v>
                </c:pt>
                <c:pt idx="34">
                  <c:v>0.32600000000000001</c:v>
                </c:pt>
                <c:pt idx="35">
                  <c:v>1.0369999999999999</c:v>
                </c:pt>
                <c:pt idx="36">
                  <c:v>0.93</c:v>
                </c:pt>
                <c:pt idx="37">
                  <c:v>1.276</c:v>
                </c:pt>
                <c:pt idx="38">
                  <c:v>0.76800000000000002</c:v>
                </c:pt>
                <c:pt idx="39">
                  <c:v>1.1180000000000001</c:v>
                </c:pt>
                <c:pt idx="40">
                  <c:v>0.84</c:v>
                </c:pt>
                <c:pt idx="41">
                  <c:v>1.1479999999999999</c:v>
                </c:pt>
                <c:pt idx="42">
                  <c:v>1.0189999999999999</c:v>
                </c:pt>
                <c:pt idx="43">
                  <c:v>1.002</c:v>
                </c:pt>
                <c:pt idx="44">
                  <c:v>1.139</c:v>
                </c:pt>
                <c:pt idx="45">
                  <c:v>0.54600000000000004</c:v>
                </c:pt>
                <c:pt idx="46">
                  <c:v>1.0780000000000001</c:v>
                </c:pt>
                <c:pt idx="47">
                  <c:v>1.196</c:v>
                </c:pt>
                <c:pt idx="48">
                  <c:v>1.206</c:v>
                </c:pt>
                <c:pt idx="49">
                  <c:v>1.272</c:v>
                </c:pt>
                <c:pt idx="50">
                  <c:v>0.66700000000000004</c:v>
                </c:pt>
                <c:pt idx="51">
                  <c:v>0.88600000000000001</c:v>
                </c:pt>
                <c:pt idx="52">
                  <c:v>1.1539999999999999</c:v>
                </c:pt>
                <c:pt idx="53">
                  <c:v>0.79300000000000004</c:v>
                </c:pt>
                <c:pt idx="54">
                  <c:v>0.84099999999999997</c:v>
                </c:pt>
                <c:pt idx="55">
                  <c:v>0.95399999999999996</c:v>
                </c:pt>
                <c:pt idx="56">
                  <c:v>1.0780000000000001</c:v>
                </c:pt>
                <c:pt idx="57">
                  <c:v>0.60899999999999999</c:v>
                </c:pt>
                <c:pt idx="58">
                  <c:v>0.93200000000000005</c:v>
                </c:pt>
                <c:pt idx="59">
                  <c:v>0.90900000000000003</c:v>
                </c:pt>
                <c:pt idx="60">
                  <c:v>1.1200000000000001</c:v>
                </c:pt>
                <c:pt idx="61">
                  <c:v>1.208</c:v>
                </c:pt>
                <c:pt idx="62">
                  <c:v>1.532</c:v>
                </c:pt>
                <c:pt idx="63">
                  <c:v>1.0840000000000001</c:v>
                </c:pt>
                <c:pt idx="64">
                  <c:v>0.89700000000000002</c:v>
                </c:pt>
                <c:pt idx="65">
                  <c:v>0.76600000000000001</c:v>
                </c:pt>
                <c:pt idx="66">
                  <c:v>0.97499999999999998</c:v>
                </c:pt>
                <c:pt idx="67">
                  <c:v>0.96699999999999997</c:v>
                </c:pt>
                <c:pt idx="68">
                  <c:v>1.024</c:v>
                </c:pt>
                <c:pt idx="69">
                  <c:v>0.96499999999999997</c:v>
                </c:pt>
                <c:pt idx="70">
                  <c:v>0.74199999999999999</c:v>
                </c:pt>
                <c:pt idx="71">
                  <c:v>0.93200000000000005</c:v>
                </c:pt>
                <c:pt idx="72">
                  <c:v>1.085</c:v>
                </c:pt>
                <c:pt idx="73">
                  <c:v>1.024</c:v>
                </c:pt>
                <c:pt idx="74">
                  <c:v>1.0940000000000001</c:v>
                </c:pt>
                <c:pt idx="75">
                  <c:v>0.58699999999999997</c:v>
                </c:pt>
                <c:pt idx="76">
                  <c:v>0.94199999999999995</c:v>
                </c:pt>
                <c:pt idx="77">
                  <c:v>0.88900000000000001</c:v>
                </c:pt>
                <c:pt idx="78">
                  <c:v>1.2490000000000001</c:v>
                </c:pt>
                <c:pt idx="79">
                  <c:v>0.996</c:v>
                </c:pt>
                <c:pt idx="80">
                  <c:v>1.5489999999999999</c:v>
                </c:pt>
                <c:pt idx="81">
                  <c:v>1.524</c:v>
                </c:pt>
                <c:pt idx="82">
                  <c:v>1.395</c:v>
                </c:pt>
                <c:pt idx="83">
                  <c:v>0.57699999999999996</c:v>
                </c:pt>
                <c:pt idx="84">
                  <c:v>1.1739999999999999</c:v>
                </c:pt>
                <c:pt idx="85">
                  <c:v>0.68200000000000005</c:v>
                </c:pt>
                <c:pt idx="86">
                  <c:v>0.50800000000000001</c:v>
                </c:pt>
                <c:pt idx="87">
                  <c:v>0.75800000000000001</c:v>
                </c:pt>
                <c:pt idx="88">
                  <c:v>0.82099999999999995</c:v>
                </c:pt>
                <c:pt idx="89">
                  <c:v>0.78200000000000003</c:v>
                </c:pt>
                <c:pt idx="90">
                  <c:v>1.0920000000000001</c:v>
                </c:pt>
                <c:pt idx="91">
                  <c:v>0.94599999999999995</c:v>
                </c:pt>
                <c:pt idx="92">
                  <c:v>1.232</c:v>
                </c:pt>
                <c:pt idx="93">
                  <c:v>1.034</c:v>
                </c:pt>
                <c:pt idx="94">
                  <c:v>1.486</c:v>
                </c:pt>
                <c:pt idx="95">
                  <c:v>1.2350000000000001</c:v>
                </c:pt>
                <c:pt idx="96">
                  <c:v>1.0780000000000001</c:v>
                </c:pt>
                <c:pt idx="97">
                  <c:v>0.40100000000000002</c:v>
                </c:pt>
                <c:pt idx="98">
                  <c:v>1.1739999999999999</c:v>
                </c:pt>
                <c:pt idx="99">
                  <c:v>0.66600000000000004</c:v>
                </c:pt>
                <c:pt idx="100">
                  <c:v>0.64400000000000002</c:v>
                </c:pt>
                <c:pt idx="101">
                  <c:v>0.67600000000000005</c:v>
                </c:pt>
                <c:pt idx="102">
                  <c:v>0.86599999999999999</c:v>
                </c:pt>
                <c:pt idx="103">
                  <c:v>1.083</c:v>
                </c:pt>
                <c:pt idx="104">
                  <c:v>1.0820000000000001</c:v>
                </c:pt>
                <c:pt idx="105">
                  <c:v>1.06</c:v>
                </c:pt>
                <c:pt idx="106">
                  <c:v>1.08</c:v>
                </c:pt>
                <c:pt idx="107">
                  <c:v>1.599</c:v>
                </c:pt>
                <c:pt idx="108">
                  <c:v>1.2190000000000001</c:v>
                </c:pt>
                <c:pt idx="109">
                  <c:v>0.91200000000000003</c:v>
                </c:pt>
                <c:pt idx="110">
                  <c:v>0.78700000000000003</c:v>
                </c:pt>
                <c:pt idx="111">
                  <c:v>0.46200000000000002</c:v>
                </c:pt>
                <c:pt idx="112">
                  <c:v>1.4279999999999999</c:v>
                </c:pt>
                <c:pt idx="113">
                  <c:v>1.6180000000000001</c:v>
                </c:pt>
                <c:pt idx="114">
                  <c:v>1.196</c:v>
                </c:pt>
                <c:pt idx="115">
                  <c:v>1.5029999999999999</c:v>
                </c:pt>
                <c:pt idx="116">
                  <c:v>0.36299999999999999</c:v>
                </c:pt>
                <c:pt idx="117">
                  <c:v>1.0589999999999999</c:v>
                </c:pt>
                <c:pt idx="118">
                  <c:v>0.94599999999999995</c:v>
                </c:pt>
                <c:pt idx="119">
                  <c:v>0.73399999999999999</c:v>
                </c:pt>
                <c:pt idx="120">
                  <c:v>0.82199999999999995</c:v>
                </c:pt>
                <c:pt idx="121">
                  <c:v>0.96099999999999997</c:v>
                </c:pt>
                <c:pt idx="122">
                  <c:v>0.97499999999999998</c:v>
                </c:pt>
                <c:pt idx="123">
                  <c:v>0.88400000000000001</c:v>
                </c:pt>
                <c:pt idx="124">
                  <c:v>0.84099999999999997</c:v>
                </c:pt>
                <c:pt idx="125">
                  <c:v>0.71899999999999997</c:v>
                </c:pt>
                <c:pt idx="126">
                  <c:v>0.89900000000000002</c:v>
                </c:pt>
                <c:pt idx="127">
                  <c:v>1.669</c:v>
                </c:pt>
                <c:pt idx="128">
                  <c:v>0.93300000000000005</c:v>
                </c:pt>
                <c:pt idx="129">
                  <c:v>1.375</c:v>
                </c:pt>
                <c:pt idx="130">
                  <c:v>0.38600000000000001</c:v>
                </c:pt>
                <c:pt idx="131">
                  <c:v>1.034</c:v>
                </c:pt>
                <c:pt idx="132">
                  <c:v>0.60599999999999998</c:v>
                </c:pt>
                <c:pt idx="133">
                  <c:v>0.92300000000000004</c:v>
                </c:pt>
                <c:pt idx="134">
                  <c:v>1.103</c:v>
                </c:pt>
                <c:pt idx="135">
                  <c:v>0.74</c:v>
                </c:pt>
                <c:pt idx="136">
                  <c:v>1.206</c:v>
                </c:pt>
                <c:pt idx="137">
                  <c:v>0.70399999999999996</c:v>
                </c:pt>
                <c:pt idx="138">
                  <c:v>0.52100000000000002</c:v>
                </c:pt>
                <c:pt idx="139">
                  <c:v>1.4359999999999999</c:v>
                </c:pt>
                <c:pt idx="140">
                  <c:v>0.97199999999999998</c:v>
                </c:pt>
                <c:pt idx="141">
                  <c:v>2</c:v>
                </c:pt>
                <c:pt idx="142">
                  <c:v>0.874</c:v>
                </c:pt>
                <c:pt idx="143">
                  <c:v>1.03</c:v>
                </c:pt>
                <c:pt idx="144">
                  <c:v>0.92700000000000005</c:v>
                </c:pt>
                <c:pt idx="145">
                  <c:v>1.181</c:v>
                </c:pt>
                <c:pt idx="146">
                  <c:v>0.63300000000000001</c:v>
                </c:pt>
                <c:pt idx="147">
                  <c:v>0.88400000000000001</c:v>
                </c:pt>
                <c:pt idx="148">
                  <c:v>0.94599999999999995</c:v>
                </c:pt>
                <c:pt idx="149">
                  <c:v>1.0640000000000001</c:v>
                </c:pt>
                <c:pt idx="150">
                  <c:v>1.292</c:v>
                </c:pt>
                <c:pt idx="151">
                  <c:v>0.70699999999999996</c:v>
                </c:pt>
              </c:numCache>
            </c:numRef>
          </c:yVal>
          <c:smooth val="0"/>
          <c:extLst xmlns:c16r2="http://schemas.microsoft.com/office/drawing/2015/06/chart">
            <c:ext xmlns:c16="http://schemas.microsoft.com/office/drawing/2014/chart" uri="{C3380CC4-5D6E-409C-BE32-E72D297353CC}">
              <c16:uniqueId val="{00000000-91EB-4B3C-B852-8E7F28743F10}"/>
            </c:ext>
          </c:extLst>
        </c:ser>
        <c:dLbls>
          <c:showLegendKey val="0"/>
          <c:showVal val="0"/>
          <c:showCatName val="0"/>
          <c:showSerName val="0"/>
          <c:showPercent val="0"/>
          <c:showBubbleSize val="0"/>
        </c:dLbls>
        <c:axId val="681133952"/>
        <c:axId val="681140224"/>
      </c:scatterChart>
      <c:scatterChart>
        <c:scatterStyle val="lineMarker"/>
        <c:varyColors val="0"/>
        <c:ser>
          <c:idx val="0"/>
          <c:order val="0"/>
          <c:tx>
            <c:strRef>
              <c:f>MTK7K!$B$1</c:f>
              <c:strCache>
                <c:ptCount val="1"/>
                <c:pt idx="0">
                  <c:v>num</c:v>
                </c:pt>
              </c:strCache>
            </c:strRef>
          </c:tx>
          <c:spPr>
            <a:ln w="19050">
              <a:solidFill>
                <a:srgbClr val="C00000"/>
              </a:solidFill>
              <a:prstDash val="sysDash"/>
            </a:ln>
          </c:spPr>
          <c:marker>
            <c:symbol val="none"/>
          </c:marker>
          <c:xVal>
            <c:numRef>
              <c:f>MTK7K!$A$2:$A$153</c:f>
              <c:numCache>
                <c:formatCode>General</c:formatCode>
                <c:ptCount val="152"/>
                <c:pt idx="0">
                  <c:v>1866</c:v>
                </c:pt>
                <c:pt idx="1">
                  <c:v>1867</c:v>
                </c:pt>
                <c:pt idx="2">
                  <c:v>1868</c:v>
                </c:pt>
                <c:pt idx="3">
                  <c:v>1869</c:v>
                </c:pt>
                <c:pt idx="4">
                  <c:v>1870</c:v>
                </c:pt>
                <c:pt idx="5">
                  <c:v>1871</c:v>
                </c:pt>
                <c:pt idx="6">
                  <c:v>1872</c:v>
                </c:pt>
                <c:pt idx="7">
                  <c:v>1873</c:v>
                </c:pt>
                <c:pt idx="8">
                  <c:v>1874</c:v>
                </c:pt>
                <c:pt idx="9">
                  <c:v>1875</c:v>
                </c:pt>
                <c:pt idx="10">
                  <c:v>1876</c:v>
                </c:pt>
                <c:pt idx="11">
                  <c:v>1877</c:v>
                </c:pt>
                <c:pt idx="12">
                  <c:v>1878</c:v>
                </c:pt>
                <c:pt idx="13">
                  <c:v>1879</c:v>
                </c:pt>
                <c:pt idx="14">
                  <c:v>1880</c:v>
                </c:pt>
                <c:pt idx="15">
                  <c:v>1881</c:v>
                </c:pt>
                <c:pt idx="16">
                  <c:v>1882</c:v>
                </c:pt>
                <c:pt idx="17">
                  <c:v>1883</c:v>
                </c:pt>
                <c:pt idx="18">
                  <c:v>1884</c:v>
                </c:pt>
                <c:pt idx="19">
                  <c:v>1885</c:v>
                </c:pt>
                <c:pt idx="20">
                  <c:v>1886</c:v>
                </c:pt>
                <c:pt idx="21">
                  <c:v>1887</c:v>
                </c:pt>
                <c:pt idx="22">
                  <c:v>1888</c:v>
                </c:pt>
                <c:pt idx="23">
                  <c:v>1889</c:v>
                </c:pt>
                <c:pt idx="24">
                  <c:v>1890</c:v>
                </c:pt>
                <c:pt idx="25">
                  <c:v>1891</c:v>
                </c:pt>
                <c:pt idx="26">
                  <c:v>1892</c:v>
                </c:pt>
                <c:pt idx="27">
                  <c:v>1893</c:v>
                </c:pt>
                <c:pt idx="28">
                  <c:v>1894</c:v>
                </c:pt>
                <c:pt idx="29">
                  <c:v>1895</c:v>
                </c:pt>
                <c:pt idx="30">
                  <c:v>1896</c:v>
                </c:pt>
                <c:pt idx="31">
                  <c:v>1897</c:v>
                </c:pt>
                <c:pt idx="32">
                  <c:v>1898</c:v>
                </c:pt>
                <c:pt idx="33">
                  <c:v>1899</c:v>
                </c:pt>
                <c:pt idx="34">
                  <c:v>1900</c:v>
                </c:pt>
                <c:pt idx="35">
                  <c:v>1901</c:v>
                </c:pt>
                <c:pt idx="36">
                  <c:v>1902</c:v>
                </c:pt>
                <c:pt idx="37">
                  <c:v>1903</c:v>
                </c:pt>
                <c:pt idx="38">
                  <c:v>1904</c:v>
                </c:pt>
                <c:pt idx="39">
                  <c:v>1905</c:v>
                </c:pt>
                <c:pt idx="40">
                  <c:v>1906</c:v>
                </c:pt>
                <c:pt idx="41">
                  <c:v>1907</c:v>
                </c:pt>
                <c:pt idx="42">
                  <c:v>1908</c:v>
                </c:pt>
                <c:pt idx="43">
                  <c:v>1909</c:v>
                </c:pt>
                <c:pt idx="44">
                  <c:v>1910</c:v>
                </c:pt>
                <c:pt idx="45">
                  <c:v>1911</c:v>
                </c:pt>
                <c:pt idx="46">
                  <c:v>1912</c:v>
                </c:pt>
                <c:pt idx="47">
                  <c:v>1913</c:v>
                </c:pt>
                <c:pt idx="48">
                  <c:v>1914</c:v>
                </c:pt>
                <c:pt idx="49">
                  <c:v>1915</c:v>
                </c:pt>
                <c:pt idx="50">
                  <c:v>1916</c:v>
                </c:pt>
                <c:pt idx="51">
                  <c:v>1917</c:v>
                </c:pt>
                <c:pt idx="52">
                  <c:v>1918</c:v>
                </c:pt>
                <c:pt idx="53">
                  <c:v>1919</c:v>
                </c:pt>
                <c:pt idx="54">
                  <c:v>1920</c:v>
                </c:pt>
                <c:pt idx="55">
                  <c:v>1921</c:v>
                </c:pt>
                <c:pt idx="56">
                  <c:v>1922</c:v>
                </c:pt>
                <c:pt idx="57">
                  <c:v>1923</c:v>
                </c:pt>
                <c:pt idx="58">
                  <c:v>1924</c:v>
                </c:pt>
                <c:pt idx="59">
                  <c:v>1925</c:v>
                </c:pt>
                <c:pt idx="60">
                  <c:v>1926</c:v>
                </c:pt>
                <c:pt idx="61">
                  <c:v>1927</c:v>
                </c:pt>
                <c:pt idx="62">
                  <c:v>1928</c:v>
                </c:pt>
                <c:pt idx="63">
                  <c:v>1929</c:v>
                </c:pt>
                <c:pt idx="64">
                  <c:v>1930</c:v>
                </c:pt>
                <c:pt idx="65">
                  <c:v>1931</c:v>
                </c:pt>
                <c:pt idx="66">
                  <c:v>1932</c:v>
                </c:pt>
                <c:pt idx="67">
                  <c:v>1933</c:v>
                </c:pt>
                <c:pt idx="68">
                  <c:v>1934</c:v>
                </c:pt>
                <c:pt idx="69">
                  <c:v>1935</c:v>
                </c:pt>
                <c:pt idx="70">
                  <c:v>1936</c:v>
                </c:pt>
                <c:pt idx="71">
                  <c:v>1937</c:v>
                </c:pt>
                <c:pt idx="72">
                  <c:v>1938</c:v>
                </c:pt>
                <c:pt idx="73">
                  <c:v>1939</c:v>
                </c:pt>
                <c:pt idx="74">
                  <c:v>1940</c:v>
                </c:pt>
                <c:pt idx="75">
                  <c:v>1941</c:v>
                </c:pt>
                <c:pt idx="76">
                  <c:v>1942</c:v>
                </c:pt>
                <c:pt idx="77">
                  <c:v>1943</c:v>
                </c:pt>
                <c:pt idx="78">
                  <c:v>1944</c:v>
                </c:pt>
                <c:pt idx="79">
                  <c:v>1945</c:v>
                </c:pt>
                <c:pt idx="80">
                  <c:v>1946</c:v>
                </c:pt>
                <c:pt idx="81">
                  <c:v>1947</c:v>
                </c:pt>
                <c:pt idx="82">
                  <c:v>1948</c:v>
                </c:pt>
                <c:pt idx="83">
                  <c:v>1949</c:v>
                </c:pt>
                <c:pt idx="84">
                  <c:v>1950</c:v>
                </c:pt>
                <c:pt idx="85">
                  <c:v>1951</c:v>
                </c:pt>
                <c:pt idx="86">
                  <c:v>1952</c:v>
                </c:pt>
                <c:pt idx="87">
                  <c:v>1953</c:v>
                </c:pt>
                <c:pt idx="88">
                  <c:v>1954</c:v>
                </c:pt>
                <c:pt idx="89">
                  <c:v>1955</c:v>
                </c:pt>
                <c:pt idx="90">
                  <c:v>1956</c:v>
                </c:pt>
                <c:pt idx="91">
                  <c:v>1957</c:v>
                </c:pt>
                <c:pt idx="92">
                  <c:v>1958</c:v>
                </c:pt>
                <c:pt idx="93">
                  <c:v>1959</c:v>
                </c:pt>
                <c:pt idx="94">
                  <c:v>1960</c:v>
                </c:pt>
                <c:pt idx="95">
                  <c:v>1961</c:v>
                </c:pt>
                <c:pt idx="96">
                  <c:v>1962</c:v>
                </c:pt>
                <c:pt idx="97">
                  <c:v>1963</c:v>
                </c:pt>
                <c:pt idx="98">
                  <c:v>1964</c:v>
                </c:pt>
                <c:pt idx="99">
                  <c:v>1965</c:v>
                </c:pt>
                <c:pt idx="100">
                  <c:v>1966</c:v>
                </c:pt>
                <c:pt idx="101">
                  <c:v>1967</c:v>
                </c:pt>
                <c:pt idx="102">
                  <c:v>1968</c:v>
                </c:pt>
                <c:pt idx="103">
                  <c:v>1969</c:v>
                </c:pt>
                <c:pt idx="104">
                  <c:v>1970</c:v>
                </c:pt>
                <c:pt idx="105">
                  <c:v>1971</c:v>
                </c:pt>
                <c:pt idx="106">
                  <c:v>1972</c:v>
                </c:pt>
                <c:pt idx="107">
                  <c:v>1973</c:v>
                </c:pt>
                <c:pt idx="108">
                  <c:v>1974</c:v>
                </c:pt>
                <c:pt idx="109">
                  <c:v>1975</c:v>
                </c:pt>
                <c:pt idx="110">
                  <c:v>1976</c:v>
                </c:pt>
                <c:pt idx="111">
                  <c:v>1977</c:v>
                </c:pt>
                <c:pt idx="112">
                  <c:v>1978</c:v>
                </c:pt>
                <c:pt idx="113">
                  <c:v>1979</c:v>
                </c:pt>
                <c:pt idx="114">
                  <c:v>1980</c:v>
                </c:pt>
                <c:pt idx="115">
                  <c:v>1981</c:v>
                </c:pt>
                <c:pt idx="116">
                  <c:v>1982</c:v>
                </c:pt>
                <c:pt idx="117">
                  <c:v>1983</c:v>
                </c:pt>
                <c:pt idx="118">
                  <c:v>1984</c:v>
                </c:pt>
                <c:pt idx="119">
                  <c:v>1985</c:v>
                </c:pt>
                <c:pt idx="120">
                  <c:v>1986</c:v>
                </c:pt>
                <c:pt idx="121">
                  <c:v>1987</c:v>
                </c:pt>
                <c:pt idx="122">
                  <c:v>1988</c:v>
                </c:pt>
                <c:pt idx="123">
                  <c:v>1989</c:v>
                </c:pt>
                <c:pt idx="124">
                  <c:v>1990</c:v>
                </c:pt>
                <c:pt idx="125">
                  <c:v>1991</c:v>
                </c:pt>
                <c:pt idx="126">
                  <c:v>1992</c:v>
                </c:pt>
                <c:pt idx="127">
                  <c:v>1993</c:v>
                </c:pt>
                <c:pt idx="128">
                  <c:v>1994</c:v>
                </c:pt>
                <c:pt idx="129">
                  <c:v>1995</c:v>
                </c:pt>
                <c:pt idx="130">
                  <c:v>1996</c:v>
                </c:pt>
                <c:pt idx="131">
                  <c:v>1997</c:v>
                </c:pt>
                <c:pt idx="132">
                  <c:v>1998</c:v>
                </c:pt>
                <c:pt idx="133">
                  <c:v>1999</c:v>
                </c:pt>
                <c:pt idx="134">
                  <c:v>2000</c:v>
                </c:pt>
                <c:pt idx="135">
                  <c:v>2001</c:v>
                </c:pt>
                <c:pt idx="136">
                  <c:v>2002</c:v>
                </c:pt>
                <c:pt idx="137">
                  <c:v>2003</c:v>
                </c:pt>
                <c:pt idx="138">
                  <c:v>2004</c:v>
                </c:pt>
                <c:pt idx="139">
                  <c:v>2005</c:v>
                </c:pt>
                <c:pt idx="140">
                  <c:v>2006</c:v>
                </c:pt>
                <c:pt idx="141">
                  <c:v>2007</c:v>
                </c:pt>
                <c:pt idx="142">
                  <c:v>2008</c:v>
                </c:pt>
                <c:pt idx="143">
                  <c:v>2009</c:v>
                </c:pt>
                <c:pt idx="144">
                  <c:v>2010</c:v>
                </c:pt>
                <c:pt idx="145">
                  <c:v>2011</c:v>
                </c:pt>
                <c:pt idx="146">
                  <c:v>2012</c:v>
                </c:pt>
                <c:pt idx="147">
                  <c:v>2013</c:v>
                </c:pt>
                <c:pt idx="148">
                  <c:v>2014</c:v>
                </c:pt>
                <c:pt idx="149">
                  <c:v>2015</c:v>
                </c:pt>
                <c:pt idx="150">
                  <c:v>2016</c:v>
                </c:pt>
                <c:pt idx="151">
                  <c:v>2017</c:v>
                </c:pt>
              </c:numCache>
            </c:numRef>
          </c:xVal>
          <c:yVal>
            <c:numRef>
              <c:f>MTK7K!$B$2:$B$153</c:f>
              <c:numCache>
                <c:formatCode>General</c:formatCode>
                <c:ptCount val="152"/>
                <c:pt idx="0">
                  <c:v>2</c:v>
                </c:pt>
                <c:pt idx="1">
                  <c:v>2</c:v>
                </c:pt>
                <c:pt idx="2">
                  <c:v>2</c:v>
                </c:pt>
                <c:pt idx="3">
                  <c:v>3</c:v>
                </c:pt>
                <c:pt idx="4">
                  <c:v>3</c:v>
                </c:pt>
                <c:pt idx="5">
                  <c:v>4</c:v>
                </c:pt>
                <c:pt idx="6">
                  <c:v>4</c:v>
                </c:pt>
                <c:pt idx="7">
                  <c:v>5</c:v>
                </c:pt>
                <c:pt idx="8">
                  <c:v>5</c:v>
                </c:pt>
                <c:pt idx="9">
                  <c:v>5</c:v>
                </c:pt>
                <c:pt idx="10">
                  <c:v>8</c:v>
                </c:pt>
                <c:pt idx="11">
                  <c:v>9</c:v>
                </c:pt>
                <c:pt idx="12">
                  <c:v>9</c:v>
                </c:pt>
                <c:pt idx="13">
                  <c:v>10</c:v>
                </c:pt>
                <c:pt idx="14">
                  <c:v>10</c:v>
                </c:pt>
                <c:pt idx="15">
                  <c:v>11</c:v>
                </c:pt>
                <c:pt idx="16">
                  <c:v>12</c:v>
                </c:pt>
                <c:pt idx="17">
                  <c:v>12</c:v>
                </c:pt>
                <c:pt idx="18">
                  <c:v>12</c:v>
                </c:pt>
                <c:pt idx="19">
                  <c:v>13</c:v>
                </c:pt>
                <c:pt idx="20">
                  <c:v>13</c:v>
                </c:pt>
                <c:pt idx="21">
                  <c:v>13</c:v>
                </c:pt>
                <c:pt idx="22">
                  <c:v>14</c:v>
                </c:pt>
                <c:pt idx="23">
                  <c:v>14</c:v>
                </c:pt>
                <c:pt idx="24">
                  <c:v>14</c:v>
                </c:pt>
                <c:pt idx="25">
                  <c:v>15</c:v>
                </c:pt>
                <c:pt idx="26">
                  <c:v>15</c:v>
                </c:pt>
                <c:pt idx="27">
                  <c:v>16</c:v>
                </c:pt>
                <c:pt idx="28">
                  <c:v>16</c:v>
                </c:pt>
                <c:pt idx="29">
                  <c:v>16</c:v>
                </c:pt>
                <c:pt idx="30">
                  <c:v>16</c:v>
                </c:pt>
                <c:pt idx="31">
                  <c:v>17</c:v>
                </c:pt>
                <c:pt idx="32">
                  <c:v>18</c:v>
                </c:pt>
                <c:pt idx="33">
                  <c:v>18</c:v>
                </c:pt>
                <c:pt idx="34">
                  <c:v>18</c:v>
                </c:pt>
                <c:pt idx="35">
                  <c:v>18</c:v>
                </c:pt>
                <c:pt idx="36">
                  <c:v>18</c:v>
                </c:pt>
                <c:pt idx="37">
                  <c:v>18</c:v>
                </c:pt>
                <c:pt idx="38">
                  <c:v>18</c:v>
                </c:pt>
                <c:pt idx="39">
                  <c:v>18</c:v>
                </c:pt>
                <c:pt idx="40">
                  <c:v>18</c:v>
                </c:pt>
                <c:pt idx="41">
                  <c:v>18</c:v>
                </c:pt>
                <c:pt idx="42">
                  <c:v>18</c:v>
                </c:pt>
                <c:pt idx="43">
                  <c:v>18</c:v>
                </c:pt>
                <c:pt idx="44">
                  <c:v>18</c:v>
                </c:pt>
                <c:pt idx="45">
                  <c:v>18</c:v>
                </c:pt>
                <c:pt idx="46">
                  <c:v>19</c:v>
                </c:pt>
                <c:pt idx="47">
                  <c:v>19</c:v>
                </c:pt>
                <c:pt idx="48">
                  <c:v>19</c:v>
                </c:pt>
                <c:pt idx="49">
                  <c:v>19</c:v>
                </c:pt>
                <c:pt idx="50">
                  <c:v>19</c:v>
                </c:pt>
                <c:pt idx="51">
                  <c:v>19</c:v>
                </c:pt>
                <c:pt idx="52">
                  <c:v>19</c:v>
                </c:pt>
                <c:pt idx="53">
                  <c:v>19</c:v>
                </c:pt>
                <c:pt idx="54">
                  <c:v>19</c:v>
                </c:pt>
                <c:pt idx="55">
                  <c:v>19</c:v>
                </c:pt>
                <c:pt idx="56">
                  <c:v>19</c:v>
                </c:pt>
                <c:pt idx="57">
                  <c:v>19</c:v>
                </c:pt>
                <c:pt idx="58">
                  <c:v>19</c:v>
                </c:pt>
                <c:pt idx="59">
                  <c:v>19</c:v>
                </c:pt>
                <c:pt idx="60">
                  <c:v>19</c:v>
                </c:pt>
                <c:pt idx="61">
                  <c:v>19</c:v>
                </c:pt>
                <c:pt idx="62">
                  <c:v>19</c:v>
                </c:pt>
                <c:pt idx="63">
                  <c:v>19</c:v>
                </c:pt>
                <c:pt idx="64">
                  <c:v>19</c:v>
                </c:pt>
                <c:pt idx="65">
                  <c:v>19</c:v>
                </c:pt>
                <c:pt idx="66">
                  <c:v>19</c:v>
                </c:pt>
                <c:pt idx="67">
                  <c:v>19</c:v>
                </c:pt>
                <c:pt idx="68">
                  <c:v>19</c:v>
                </c:pt>
                <c:pt idx="69">
                  <c:v>19</c:v>
                </c:pt>
                <c:pt idx="70">
                  <c:v>19</c:v>
                </c:pt>
                <c:pt idx="71">
                  <c:v>19</c:v>
                </c:pt>
                <c:pt idx="72">
                  <c:v>19</c:v>
                </c:pt>
                <c:pt idx="73">
                  <c:v>19</c:v>
                </c:pt>
                <c:pt idx="74">
                  <c:v>19</c:v>
                </c:pt>
                <c:pt idx="75">
                  <c:v>19</c:v>
                </c:pt>
                <c:pt idx="76">
                  <c:v>19</c:v>
                </c:pt>
                <c:pt idx="77">
                  <c:v>19</c:v>
                </c:pt>
                <c:pt idx="78">
                  <c:v>19</c:v>
                </c:pt>
                <c:pt idx="79">
                  <c:v>19</c:v>
                </c:pt>
                <c:pt idx="80">
                  <c:v>19</c:v>
                </c:pt>
                <c:pt idx="81">
                  <c:v>19</c:v>
                </c:pt>
                <c:pt idx="82">
                  <c:v>19</c:v>
                </c:pt>
                <c:pt idx="83">
                  <c:v>19</c:v>
                </c:pt>
                <c:pt idx="84">
                  <c:v>19</c:v>
                </c:pt>
                <c:pt idx="85">
                  <c:v>19</c:v>
                </c:pt>
                <c:pt idx="86">
                  <c:v>19</c:v>
                </c:pt>
                <c:pt idx="87">
                  <c:v>19</c:v>
                </c:pt>
                <c:pt idx="88">
                  <c:v>19</c:v>
                </c:pt>
                <c:pt idx="89">
                  <c:v>19</c:v>
                </c:pt>
                <c:pt idx="90">
                  <c:v>19</c:v>
                </c:pt>
                <c:pt idx="91">
                  <c:v>19</c:v>
                </c:pt>
                <c:pt idx="92">
                  <c:v>19</c:v>
                </c:pt>
                <c:pt idx="93">
                  <c:v>19</c:v>
                </c:pt>
                <c:pt idx="94">
                  <c:v>19</c:v>
                </c:pt>
                <c:pt idx="95">
                  <c:v>19</c:v>
                </c:pt>
                <c:pt idx="96">
                  <c:v>19</c:v>
                </c:pt>
                <c:pt idx="97">
                  <c:v>19</c:v>
                </c:pt>
                <c:pt idx="98">
                  <c:v>19</c:v>
                </c:pt>
                <c:pt idx="99">
                  <c:v>19</c:v>
                </c:pt>
                <c:pt idx="100">
                  <c:v>19</c:v>
                </c:pt>
                <c:pt idx="101">
                  <c:v>19</c:v>
                </c:pt>
                <c:pt idx="102">
                  <c:v>19</c:v>
                </c:pt>
                <c:pt idx="103">
                  <c:v>19</c:v>
                </c:pt>
                <c:pt idx="104">
                  <c:v>19</c:v>
                </c:pt>
                <c:pt idx="105">
                  <c:v>19</c:v>
                </c:pt>
                <c:pt idx="106">
                  <c:v>19</c:v>
                </c:pt>
                <c:pt idx="107">
                  <c:v>19</c:v>
                </c:pt>
                <c:pt idx="108">
                  <c:v>19</c:v>
                </c:pt>
                <c:pt idx="109">
                  <c:v>19</c:v>
                </c:pt>
                <c:pt idx="110">
                  <c:v>19</c:v>
                </c:pt>
                <c:pt idx="111">
                  <c:v>19</c:v>
                </c:pt>
                <c:pt idx="112">
                  <c:v>19</c:v>
                </c:pt>
                <c:pt idx="113">
                  <c:v>19</c:v>
                </c:pt>
                <c:pt idx="114">
                  <c:v>19</c:v>
                </c:pt>
                <c:pt idx="115">
                  <c:v>19</c:v>
                </c:pt>
                <c:pt idx="116">
                  <c:v>19</c:v>
                </c:pt>
                <c:pt idx="117">
                  <c:v>19</c:v>
                </c:pt>
                <c:pt idx="118">
                  <c:v>19</c:v>
                </c:pt>
                <c:pt idx="119">
                  <c:v>19</c:v>
                </c:pt>
                <c:pt idx="120">
                  <c:v>19</c:v>
                </c:pt>
                <c:pt idx="121">
                  <c:v>19</c:v>
                </c:pt>
                <c:pt idx="122">
                  <c:v>19</c:v>
                </c:pt>
                <c:pt idx="123">
                  <c:v>19</c:v>
                </c:pt>
                <c:pt idx="124">
                  <c:v>19</c:v>
                </c:pt>
                <c:pt idx="125">
                  <c:v>19</c:v>
                </c:pt>
                <c:pt idx="126">
                  <c:v>19</c:v>
                </c:pt>
                <c:pt idx="127">
                  <c:v>19</c:v>
                </c:pt>
                <c:pt idx="128">
                  <c:v>19</c:v>
                </c:pt>
                <c:pt idx="129">
                  <c:v>19</c:v>
                </c:pt>
                <c:pt idx="130">
                  <c:v>19</c:v>
                </c:pt>
                <c:pt idx="131">
                  <c:v>19</c:v>
                </c:pt>
                <c:pt idx="132">
                  <c:v>19</c:v>
                </c:pt>
                <c:pt idx="133">
                  <c:v>19</c:v>
                </c:pt>
                <c:pt idx="134">
                  <c:v>19</c:v>
                </c:pt>
                <c:pt idx="135">
                  <c:v>19</c:v>
                </c:pt>
                <c:pt idx="136">
                  <c:v>19</c:v>
                </c:pt>
                <c:pt idx="137">
                  <c:v>19</c:v>
                </c:pt>
                <c:pt idx="138">
                  <c:v>19</c:v>
                </c:pt>
                <c:pt idx="139">
                  <c:v>19</c:v>
                </c:pt>
                <c:pt idx="140">
                  <c:v>19</c:v>
                </c:pt>
                <c:pt idx="141">
                  <c:v>19</c:v>
                </c:pt>
                <c:pt idx="142">
                  <c:v>19</c:v>
                </c:pt>
                <c:pt idx="143">
                  <c:v>19</c:v>
                </c:pt>
                <c:pt idx="144">
                  <c:v>19</c:v>
                </c:pt>
                <c:pt idx="145">
                  <c:v>19</c:v>
                </c:pt>
                <c:pt idx="146">
                  <c:v>19</c:v>
                </c:pt>
                <c:pt idx="147">
                  <c:v>19</c:v>
                </c:pt>
                <c:pt idx="148">
                  <c:v>19</c:v>
                </c:pt>
                <c:pt idx="149">
                  <c:v>19</c:v>
                </c:pt>
                <c:pt idx="150">
                  <c:v>19</c:v>
                </c:pt>
                <c:pt idx="151">
                  <c:v>19</c:v>
                </c:pt>
              </c:numCache>
            </c:numRef>
          </c:yVal>
          <c:smooth val="0"/>
          <c:extLst xmlns:c16r2="http://schemas.microsoft.com/office/drawing/2015/06/chart">
            <c:ext xmlns:c16="http://schemas.microsoft.com/office/drawing/2014/chart" uri="{C3380CC4-5D6E-409C-BE32-E72D297353CC}">
              <c16:uniqueId val="{00000001-91EB-4B3C-B852-8E7F28743F10}"/>
            </c:ext>
          </c:extLst>
        </c:ser>
        <c:dLbls>
          <c:showLegendKey val="0"/>
          <c:showVal val="0"/>
          <c:showCatName val="0"/>
          <c:showSerName val="0"/>
          <c:showPercent val="0"/>
          <c:showBubbleSize val="0"/>
        </c:dLbls>
        <c:axId val="681142144"/>
        <c:axId val="681143680"/>
      </c:scatterChart>
      <c:valAx>
        <c:axId val="681133952"/>
        <c:scaling>
          <c:orientation val="minMax"/>
          <c:max val="2020"/>
          <c:min val="1860"/>
        </c:scaling>
        <c:delete val="0"/>
        <c:axPos val="b"/>
        <c:title>
          <c:tx>
            <c:rich>
              <a:bodyPr/>
              <a:lstStyle/>
              <a:p>
                <a:pPr>
                  <a:defRPr/>
                </a:pPr>
                <a:r>
                  <a:rPr lang="ru-RU"/>
                  <a:t>Годы</a:t>
                </a:r>
              </a:p>
            </c:rich>
          </c:tx>
          <c:layout>
            <c:manualLayout>
              <c:xMode val="edge"/>
              <c:yMode val="edge"/>
              <c:x val="0.93978218583274531"/>
              <c:y val="0.86241313452839663"/>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681140224"/>
        <c:crosses val="autoZero"/>
        <c:crossBetween val="midCat"/>
        <c:majorUnit val="5"/>
        <c:minorUnit val="5"/>
      </c:valAx>
      <c:valAx>
        <c:axId val="681140224"/>
        <c:scaling>
          <c:orientation val="minMax"/>
          <c:max val="2"/>
        </c:scaling>
        <c:delete val="0"/>
        <c:axPos val="l"/>
        <c:majorGridlines>
          <c:spPr>
            <a:ln w="3175">
              <a:solidFill>
                <a:srgbClr val="000000"/>
              </a:solidFill>
              <a:prstDash val="solid"/>
            </a:ln>
          </c:spPr>
        </c:majorGridlines>
        <c:title>
          <c:tx>
            <c:rich>
              <a:bodyPr/>
              <a:lstStyle/>
              <a:p>
                <a:pPr>
                  <a:defRPr/>
                </a:pPr>
                <a:r>
                  <a:rPr lang="ru-RU"/>
                  <a:t>Индексы</a:t>
                </a:r>
              </a:p>
            </c:rich>
          </c:tx>
          <c:layout>
            <c:manualLayout>
              <c:xMode val="edge"/>
              <c:yMode val="edge"/>
              <c:x val="9.0090090090090089E-3"/>
              <c:y val="0.314894063773943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681133952"/>
        <c:crosses val="autoZero"/>
        <c:crossBetween val="midCat"/>
        <c:majorUnit val="1"/>
      </c:valAx>
      <c:valAx>
        <c:axId val="681142144"/>
        <c:scaling>
          <c:orientation val="minMax"/>
        </c:scaling>
        <c:delete val="1"/>
        <c:axPos val="b"/>
        <c:numFmt formatCode="General" sourceLinked="1"/>
        <c:majorTickMark val="out"/>
        <c:minorTickMark val="none"/>
        <c:tickLblPos val="nextTo"/>
        <c:crossAx val="681143680"/>
        <c:crosses val="autoZero"/>
        <c:crossBetween val="midCat"/>
      </c:valAx>
      <c:valAx>
        <c:axId val="681143680"/>
        <c:scaling>
          <c:orientation val="minMax"/>
        </c:scaling>
        <c:delete val="0"/>
        <c:axPos val="r"/>
        <c:title>
          <c:tx>
            <c:rich>
              <a:bodyPr rot="-5400000" vert="horz"/>
              <a:lstStyle/>
              <a:p>
                <a:pPr>
                  <a:defRPr/>
                </a:pPr>
                <a:r>
                  <a:rPr lang="ru-RU"/>
                  <a:t>Количество</a:t>
                </a:r>
                <a:r>
                  <a:rPr lang="ru-RU" baseline="0"/>
                  <a:t> деревьев</a:t>
                </a:r>
                <a:endParaRPr lang="ru-RU"/>
              </a:p>
            </c:rich>
          </c:tx>
          <c:overlay val="0"/>
        </c:title>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681142144"/>
        <c:crosses val="max"/>
        <c:crossBetween val="midCat"/>
      </c:valAx>
      <c:spPr>
        <a:solidFill>
          <a:schemeClr val="bg1">
            <a:lumMod val="95000"/>
            <a:alpha val="38000"/>
          </a:schemeClr>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38914795844694E-2"/>
          <c:y val="1.9847599695199392E-2"/>
          <c:w val="0.88835091833364677"/>
          <c:h val="0.69444642000395107"/>
        </c:manualLayout>
      </c:layout>
      <c:areaChart>
        <c:grouping val="standard"/>
        <c:varyColors val="0"/>
        <c:ser>
          <c:idx val="0"/>
          <c:order val="0"/>
          <c:tx>
            <c:strRef>
              <c:f>Лист1!$B$1</c:f>
              <c:strCache>
                <c:ptCount val="1"/>
                <c:pt idx="0">
                  <c:v>секиця 7-5</c:v>
                </c:pt>
              </c:strCache>
            </c:strRef>
          </c:tx>
          <c:spPr>
            <a:solidFill>
              <a:srgbClr val="969696"/>
            </a:solidFill>
            <a:ln w="12701">
              <a:solidFill>
                <a:srgbClr val="808080"/>
              </a:solidFill>
              <a:prstDash val="solid"/>
            </a:ln>
          </c:spPr>
          <c:cat>
            <c:numRef>
              <c:f>Лист1!$A$8:$A$102</c:f>
              <c:numCache>
                <c:formatCode>General</c:formatCode>
                <c:ptCount val="95"/>
                <c:pt idx="0">
                  <c:v>1925</c:v>
                </c:pt>
                <c:pt idx="1">
                  <c:v>1926</c:v>
                </c:pt>
                <c:pt idx="2">
                  <c:v>1927</c:v>
                </c:pt>
                <c:pt idx="3">
                  <c:v>1928</c:v>
                </c:pt>
                <c:pt idx="4">
                  <c:v>1929</c:v>
                </c:pt>
                <c:pt idx="5">
                  <c:v>1930</c:v>
                </c:pt>
                <c:pt idx="6">
                  <c:v>1931</c:v>
                </c:pt>
                <c:pt idx="7">
                  <c:v>1932</c:v>
                </c:pt>
                <c:pt idx="8">
                  <c:v>1933</c:v>
                </c:pt>
                <c:pt idx="9">
                  <c:v>1934</c:v>
                </c:pt>
                <c:pt idx="10">
                  <c:v>1935</c:v>
                </c:pt>
                <c:pt idx="11">
                  <c:v>1936</c:v>
                </c:pt>
                <c:pt idx="12">
                  <c:v>1937</c:v>
                </c:pt>
                <c:pt idx="13">
                  <c:v>1938</c:v>
                </c:pt>
                <c:pt idx="14">
                  <c:v>1939</c:v>
                </c:pt>
                <c:pt idx="15">
                  <c:v>1940</c:v>
                </c:pt>
                <c:pt idx="16">
                  <c:v>1941</c:v>
                </c:pt>
                <c:pt idx="17">
                  <c:v>1942</c:v>
                </c:pt>
                <c:pt idx="18">
                  <c:v>1943</c:v>
                </c:pt>
                <c:pt idx="19">
                  <c:v>1944</c:v>
                </c:pt>
                <c:pt idx="20">
                  <c:v>1945</c:v>
                </c:pt>
                <c:pt idx="21">
                  <c:v>1946</c:v>
                </c:pt>
                <c:pt idx="22">
                  <c:v>1947</c:v>
                </c:pt>
                <c:pt idx="23">
                  <c:v>1948</c:v>
                </c:pt>
                <c:pt idx="24">
                  <c:v>1949</c:v>
                </c:pt>
                <c:pt idx="25">
                  <c:v>1950</c:v>
                </c:pt>
                <c:pt idx="26">
                  <c:v>1951</c:v>
                </c:pt>
                <c:pt idx="27">
                  <c:v>1952</c:v>
                </c:pt>
                <c:pt idx="28">
                  <c:v>1953</c:v>
                </c:pt>
                <c:pt idx="29">
                  <c:v>1954</c:v>
                </c:pt>
                <c:pt idx="30">
                  <c:v>1955</c:v>
                </c:pt>
                <c:pt idx="31">
                  <c:v>1956</c:v>
                </c:pt>
                <c:pt idx="32">
                  <c:v>1957</c:v>
                </c:pt>
                <c:pt idx="33">
                  <c:v>1958</c:v>
                </c:pt>
                <c:pt idx="34">
                  <c:v>1959</c:v>
                </c:pt>
                <c:pt idx="35">
                  <c:v>1960</c:v>
                </c:pt>
                <c:pt idx="36">
                  <c:v>1961</c:v>
                </c:pt>
                <c:pt idx="37">
                  <c:v>1962</c:v>
                </c:pt>
                <c:pt idx="38">
                  <c:v>1963</c:v>
                </c:pt>
                <c:pt idx="39">
                  <c:v>1964</c:v>
                </c:pt>
                <c:pt idx="40">
                  <c:v>1965</c:v>
                </c:pt>
                <c:pt idx="41">
                  <c:v>1966</c:v>
                </c:pt>
                <c:pt idx="42">
                  <c:v>1967</c:v>
                </c:pt>
                <c:pt idx="43">
                  <c:v>1968</c:v>
                </c:pt>
                <c:pt idx="44">
                  <c:v>1969</c:v>
                </c:pt>
                <c:pt idx="45">
                  <c:v>1970</c:v>
                </c:pt>
                <c:pt idx="46">
                  <c:v>1971</c:v>
                </c:pt>
                <c:pt idx="47">
                  <c:v>1972</c:v>
                </c:pt>
                <c:pt idx="48">
                  <c:v>1973</c:v>
                </c:pt>
                <c:pt idx="49">
                  <c:v>1974</c:v>
                </c:pt>
                <c:pt idx="50">
                  <c:v>1975</c:v>
                </c:pt>
                <c:pt idx="51">
                  <c:v>1976</c:v>
                </c:pt>
                <c:pt idx="52">
                  <c:v>1977</c:v>
                </c:pt>
                <c:pt idx="53">
                  <c:v>1978</c:v>
                </c:pt>
                <c:pt idx="54">
                  <c:v>1979</c:v>
                </c:pt>
                <c:pt idx="55">
                  <c:v>1980</c:v>
                </c:pt>
                <c:pt idx="56">
                  <c:v>1981</c:v>
                </c:pt>
                <c:pt idx="57">
                  <c:v>1982</c:v>
                </c:pt>
                <c:pt idx="58">
                  <c:v>1983</c:v>
                </c:pt>
                <c:pt idx="59">
                  <c:v>1984</c:v>
                </c:pt>
                <c:pt idx="60">
                  <c:v>1985</c:v>
                </c:pt>
                <c:pt idx="61">
                  <c:v>1986</c:v>
                </c:pt>
                <c:pt idx="62">
                  <c:v>1987</c:v>
                </c:pt>
                <c:pt idx="63">
                  <c:v>1988</c:v>
                </c:pt>
                <c:pt idx="64">
                  <c:v>1989</c:v>
                </c:pt>
                <c:pt idx="65">
                  <c:v>1990</c:v>
                </c:pt>
                <c:pt idx="66">
                  <c:v>1991</c:v>
                </c:pt>
                <c:pt idx="67">
                  <c:v>1992</c:v>
                </c:pt>
                <c:pt idx="68">
                  <c:v>1993</c:v>
                </c:pt>
                <c:pt idx="69">
                  <c:v>1994</c:v>
                </c:pt>
                <c:pt idx="70">
                  <c:v>1995</c:v>
                </c:pt>
                <c:pt idx="71">
                  <c:v>1996</c:v>
                </c:pt>
                <c:pt idx="72">
                  <c:v>1997</c:v>
                </c:pt>
                <c:pt idx="73">
                  <c:v>1998</c:v>
                </c:pt>
                <c:pt idx="74">
                  <c:v>1999</c:v>
                </c:pt>
                <c:pt idx="75">
                  <c:v>2000</c:v>
                </c:pt>
                <c:pt idx="76">
                  <c:v>2001</c:v>
                </c:pt>
                <c:pt idx="77">
                  <c:v>2002</c:v>
                </c:pt>
                <c:pt idx="78">
                  <c:v>2003</c:v>
                </c:pt>
                <c:pt idx="79">
                  <c:v>2004</c:v>
                </c:pt>
                <c:pt idx="80">
                  <c:v>2005</c:v>
                </c:pt>
                <c:pt idx="81">
                  <c:v>2006</c:v>
                </c:pt>
                <c:pt idx="82">
                  <c:v>2007</c:v>
                </c:pt>
                <c:pt idx="83">
                  <c:v>2008</c:v>
                </c:pt>
                <c:pt idx="84">
                  <c:v>2009</c:v>
                </c:pt>
                <c:pt idx="85">
                  <c:v>2010</c:v>
                </c:pt>
                <c:pt idx="86">
                  <c:v>2011</c:v>
                </c:pt>
                <c:pt idx="87">
                  <c:v>2012</c:v>
                </c:pt>
                <c:pt idx="88">
                  <c:v>2013</c:v>
                </c:pt>
                <c:pt idx="89">
                  <c:v>2014</c:v>
                </c:pt>
                <c:pt idx="90">
                  <c:v>2015</c:v>
                </c:pt>
                <c:pt idx="91">
                  <c:v>2016</c:v>
                </c:pt>
                <c:pt idx="92">
                  <c:v>2017</c:v>
                </c:pt>
                <c:pt idx="93">
                  <c:v>2018</c:v>
                </c:pt>
              </c:numCache>
            </c:numRef>
          </c:cat>
          <c:val>
            <c:numRef>
              <c:f>Лист1!$B$8:$B$102</c:f>
              <c:numCache>
                <c:formatCode>General</c:formatCode>
                <c:ptCount val="95"/>
                <c:pt idx="0">
                  <c:v>0.97699999999999998</c:v>
                </c:pt>
                <c:pt idx="1">
                  <c:v>0.89100000000000001</c:v>
                </c:pt>
                <c:pt idx="2">
                  <c:v>0.82099999999999995</c:v>
                </c:pt>
                <c:pt idx="3">
                  <c:v>0.83</c:v>
                </c:pt>
                <c:pt idx="4">
                  <c:v>0.77400000000000002</c:v>
                </c:pt>
                <c:pt idx="5">
                  <c:v>0.84599999999999997</c:v>
                </c:pt>
                <c:pt idx="6">
                  <c:v>0.79100000000000004</c:v>
                </c:pt>
                <c:pt idx="7">
                  <c:v>0.88</c:v>
                </c:pt>
                <c:pt idx="8">
                  <c:v>0.73499999999999999</c:v>
                </c:pt>
                <c:pt idx="9">
                  <c:v>0.84199999999999997</c:v>
                </c:pt>
                <c:pt idx="10">
                  <c:v>0.73499999999999999</c:v>
                </c:pt>
                <c:pt idx="11">
                  <c:v>0.79600000000000004</c:v>
                </c:pt>
                <c:pt idx="12">
                  <c:v>0.75800000000000001</c:v>
                </c:pt>
                <c:pt idx="13">
                  <c:v>0.79400000000000004</c:v>
                </c:pt>
                <c:pt idx="14">
                  <c:v>0.82899999999999996</c:v>
                </c:pt>
                <c:pt idx="15">
                  <c:v>0.79300000000000004</c:v>
                </c:pt>
                <c:pt idx="16">
                  <c:v>0.76</c:v>
                </c:pt>
                <c:pt idx="17">
                  <c:v>0.77100000000000002</c:v>
                </c:pt>
                <c:pt idx="18">
                  <c:v>0.78900000000000003</c:v>
                </c:pt>
                <c:pt idx="19">
                  <c:v>0.76</c:v>
                </c:pt>
                <c:pt idx="20">
                  <c:v>0.77200000000000002</c:v>
                </c:pt>
                <c:pt idx="21">
                  <c:v>0.77</c:v>
                </c:pt>
                <c:pt idx="22">
                  <c:v>0.73899999999999999</c:v>
                </c:pt>
                <c:pt idx="23">
                  <c:v>0.75600000000000001</c:v>
                </c:pt>
                <c:pt idx="24">
                  <c:v>0.77500000000000002</c:v>
                </c:pt>
                <c:pt idx="25">
                  <c:v>0.77400000000000002</c:v>
                </c:pt>
                <c:pt idx="26">
                  <c:v>0.72699999999999998</c:v>
                </c:pt>
                <c:pt idx="27">
                  <c:v>0.68</c:v>
                </c:pt>
                <c:pt idx="28">
                  <c:v>0.68700000000000006</c:v>
                </c:pt>
                <c:pt idx="29">
                  <c:v>0.625</c:v>
                </c:pt>
                <c:pt idx="30">
                  <c:v>0.57899999999999996</c:v>
                </c:pt>
                <c:pt idx="31">
                  <c:v>0.627</c:v>
                </c:pt>
                <c:pt idx="32">
                  <c:v>0.60799999999999998</c:v>
                </c:pt>
                <c:pt idx="33">
                  <c:v>0.61499999999999999</c:v>
                </c:pt>
                <c:pt idx="34">
                  <c:v>0.61499999999999999</c:v>
                </c:pt>
                <c:pt idx="35">
                  <c:v>0.66500000000000004</c:v>
                </c:pt>
                <c:pt idx="36">
                  <c:v>0.6</c:v>
                </c:pt>
                <c:pt idx="37">
                  <c:v>0.59099999999999997</c:v>
                </c:pt>
                <c:pt idx="38">
                  <c:v>0.57199999999999995</c:v>
                </c:pt>
                <c:pt idx="39">
                  <c:v>0.56599999999999995</c:v>
                </c:pt>
                <c:pt idx="40">
                  <c:v>0.59499999999999997</c:v>
                </c:pt>
                <c:pt idx="41">
                  <c:v>0.58299999999999996</c:v>
                </c:pt>
                <c:pt idx="42">
                  <c:v>0.61199999999999999</c:v>
                </c:pt>
                <c:pt idx="43">
                  <c:v>0.63900000000000001</c:v>
                </c:pt>
                <c:pt idx="44">
                  <c:v>0.63700000000000001</c:v>
                </c:pt>
                <c:pt idx="45">
                  <c:v>0.60599999999999998</c:v>
                </c:pt>
                <c:pt idx="46">
                  <c:v>0.63100000000000001</c:v>
                </c:pt>
                <c:pt idx="47">
                  <c:v>0.61</c:v>
                </c:pt>
                <c:pt idx="48">
                  <c:v>0.54900000000000004</c:v>
                </c:pt>
                <c:pt idx="49">
                  <c:v>0.59599999999999997</c:v>
                </c:pt>
                <c:pt idx="50">
                  <c:v>0.58899999999999997</c:v>
                </c:pt>
                <c:pt idx="51">
                  <c:v>0.56599999999999995</c:v>
                </c:pt>
                <c:pt idx="52">
                  <c:v>0.58499999999999996</c:v>
                </c:pt>
                <c:pt idx="53">
                  <c:v>0.53700000000000003</c:v>
                </c:pt>
                <c:pt idx="54">
                  <c:v>0.51200000000000001</c:v>
                </c:pt>
                <c:pt idx="55">
                  <c:v>0.51800000000000002</c:v>
                </c:pt>
                <c:pt idx="56">
                  <c:v>0.53800000000000003</c:v>
                </c:pt>
                <c:pt idx="57">
                  <c:v>0.57299999999999995</c:v>
                </c:pt>
                <c:pt idx="58">
                  <c:v>0.49199999999999999</c:v>
                </c:pt>
                <c:pt idx="59">
                  <c:v>0.55400000000000005</c:v>
                </c:pt>
                <c:pt idx="60">
                  <c:v>0.59099999999999997</c:v>
                </c:pt>
                <c:pt idx="61">
                  <c:v>0.57699999999999996</c:v>
                </c:pt>
                <c:pt idx="62">
                  <c:v>0.497</c:v>
                </c:pt>
                <c:pt idx="63">
                  <c:v>0.55300000000000005</c:v>
                </c:pt>
                <c:pt idx="64">
                  <c:v>0.51300000000000001</c:v>
                </c:pt>
                <c:pt idx="65">
                  <c:v>0.48</c:v>
                </c:pt>
                <c:pt idx="66">
                  <c:v>0.47799999999999998</c:v>
                </c:pt>
                <c:pt idx="67">
                  <c:v>0.51200000000000001</c:v>
                </c:pt>
                <c:pt idx="68">
                  <c:v>0.47099999999999997</c:v>
                </c:pt>
                <c:pt idx="69">
                  <c:v>0.50800000000000001</c:v>
                </c:pt>
                <c:pt idx="70">
                  <c:v>0.60099999999999998</c:v>
                </c:pt>
                <c:pt idx="71">
                  <c:v>0.57199999999999995</c:v>
                </c:pt>
                <c:pt idx="72">
                  <c:v>0.54900000000000004</c:v>
                </c:pt>
                <c:pt idx="73">
                  <c:v>0.56799999999999995</c:v>
                </c:pt>
                <c:pt idx="74">
                  <c:v>0.51300000000000001</c:v>
                </c:pt>
                <c:pt idx="75">
                  <c:v>0.53500000000000003</c:v>
                </c:pt>
                <c:pt idx="76">
                  <c:v>0.51300000000000001</c:v>
                </c:pt>
                <c:pt idx="77">
                  <c:v>0.54500000000000004</c:v>
                </c:pt>
                <c:pt idx="78">
                  <c:v>0.55400000000000005</c:v>
                </c:pt>
                <c:pt idx="79">
                  <c:v>0.52400000000000002</c:v>
                </c:pt>
                <c:pt idx="80">
                  <c:v>0.54200000000000004</c:v>
                </c:pt>
                <c:pt idx="81">
                  <c:v>0.56799999999999995</c:v>
                </c:pt>
                <c:pt idx="82">
                  <c:v>0.59099999999999997</c:v>
                </c:pt>
                <c:pt idx="83">
                  <c:v>0.54800000000000004</c:v>
                </c:pt>
                <c:pt idx="84">
                  <c:v>0.61099999999999999</c:v>
                </c:pt>
                <c:pt idx="85">
                  <c:v>0.57799999999999996</c:v>
                </c:pt>
                <c:pt idx="86">
                  <c:v>0.45100000000000001</c:v>
                </c:pt>
                <c:pt idx="87">
                  <c:v>0.46700000000000003</c:v>
                </c:pt>
                <c:pt idx="88">
                  <c:v>0.38600000000000001</c:v>
                </c:pt>
                <c:pt idx="89">
                  <c:v>0.38</c:v>
                </c:pt>
                <c:pt idx="90">
                  <c:v>0.28000000000000003</c:v>
                </c:pt>
                <c:pt idx="91">
                  <c:v>0.36</c:v>
                </c:pt>
                <c:pt idx="92">
                  <c:v>0.49</c:v>
                </c:pt>
                <c:pt idx="93">
                  <c:v>0.45</c:v>
                </c:pt>
              </c:numCache>
            </c:numRef>
          </c:val>
        </c:ser>
        <c:ser>
          <c:idx val="1"/>
          <c:order val="1"/>
          <c:tx>
            <c:strRef>
              <c:f>Лист1!$C$1</c:f>
              <c:strCache>
                <c:ptCount val="1"/>
                <c:pt idx="0">
                  <c:v>секция К-5 (контроль)</c:v>
                </c:pt>
              </c:strCache>
            </c:strRef>
          </c:tx>
          <c:spPr>
            <a:solidFill>
              <a:srgbClr val="FFFFFF"/>
            </a:solidFill>
            <a:ln w="12701">
              <a:solidFill>
                <a:srgbClr val="000000"/>
              </a:solidFill>
              <a:prstDash val="solid"/>
            </a:ln>
          </c:spPr>
          <c:cat>
            <c:numRef>
              <c:f>Лист1!$A$8:$A$102</c:f>
              <c:numCache>
                <c:formatCode>General</c:formatCode>
                <c:ptCount val="95"/>
                <c:pt idx="0">
                  <c:v>1925</c:v>
                </c:pt>
                <c:pt idx="1">
                  <c:v>1926</c:v>
                </c:pt>
                <c:pt idx="2">
                  <c:v>1927</c:v>
                </c:pt>
                <c:pt idx="3">
                  <c:v>1928</c:v>
                </c:pt>
                <c:pt idx="4">
                  <c:v>1929</c:v>
                </c:pt>
                <c:pt idx="5">
                  <c:v>1930</c:v>
                </c:pt>
                <c:pt idx="6">
                  <c:v>1931</c:v>
                </c:pt>
                <c:pt idx="7">
                  <c:v>1932</c:v>
                </c:pt>
                <c:pt idx="8">
                  <c:v>1933</c:v>
                </c:pt>
                <c:pt idx="9">
                  <c:v>1934</c:v>
                </c:pt>
                <c:pt idx="10">
                  <c:v>1935</c:v>
                </c:pt>
                <c:pt idx="11">
                  <c:v>1936</c:v>
                </c:pt>
                <c:pt idx="12">
                  <c:v>1937</c:v>
                </c:pt>
                <c:pt idx="13">
                  <c:v>1938</c:v>
                </c:pt>
                <c:pt idx="14">
                  <c:v>1939</c:v>
                </c:pt>
                <c:pt idx="15">
                  <c:v>1940</c:v>
                </c:pt>
                <c:pt idx="16">
                  <c:v>1941</c:v>
                </c:pt>
                <c:pt idx="17">
                  <c:v>1942</c:v>
                </c:pt>
                <c:pt idx="18">
                  <c:v>1943</c:v>
                </c:pt>
                <c:pt idx="19">
                  <c:v>1944</c:v>
                </c:pt>
                <c:pt idx="20">
                  <c:v>1945</c:v>
                </c:pt>
                <c:pt idx="21">
                  <c:v>1946</c:v>
                </c:pt>
                <c:pt idx="22">
                  <c:v>1947</c:v>
                </c:pt>
                <c:pt idx="23">
                  <c:v>1948</c:v>
                </c:pt>
                <c:pt idx="24">
                  <c:v>1949</c:v>
                </c:pt>
                <c:pt idx="25">
                  <c:v>1950</c:v>
                </c:pt>
                <c:pt idx="26">
                  <c:v>1951</c:v>
                </c:pt>
                <c:pt idx="27">
                  <c:v>1952</c:v>
                </c:pt>
                <c:pt idx="28">
                  <c:v>1953</c:v>
                </c:pt>
                <c:pt idx="29">
                  <c:v>1954</c:v>
                </c:pt>
                <c:pt idx="30">
                  <c:v>1955</c:v>
                </c:pt>
                <c:pt idx="31">
                  <c:v>1956</c:v>
                </c:pt>
                <c:pt idx="32">
                  <c:v>1957</c:v>
                </c:pt>
                <c:pt idx="33">
                  <c:v>1958</c:v>
                </c:pt>
                <c:pt idx="34">
                  <c:v>1959</c:v>
                </c:pt>
                <c:pt idx="35">
                  <c:v>1960</c:v>
                </c:pt>
                <c:pt idx="36">
                  <c:v>1961</c:v>
                </c:pt>
                <c:pt idx="37">
                  <c:v>1962</c:v>
                </c:pt>
                <c:pt idx="38">
                  <c:v>1963</c:v>
                </c:pt>
                <c:pt idx="39">
                  <c:v>1964</c:v>
                </c:pt>
                <c:pt idx="40">
                  <c:v>1965</c:v>
                </c:pt>
                <c:pt idx="41">
                  <c:v>1966</c:v>
                </c:pt>
                <c:pt idx="42">
                  <c:v>1967</c:v>
                </c:pt>
                <c:pt idx="43">
                  <c:v>1968</c:v>
                </c:pt>
                <c:pt idx="44">
                  <c:v>1969</c:v>
                </c:pt>
                <c:pt idx="45">
                  <c:v>1970</c:v>
                </c:pt>
                <c:pt idx="46">
                  <c:v>1971</c:v>
                </c:pt>
                <c:pt idx="47">
                  <c:v>1972</c:v>
                </c:pt>
                <c:pt idx="48">
                  <c:v>1973</c:v>
                </c:pt>
                <c:pt idx="49">
                  <c:v>1974</c:v>
                </c:pt>
                <c:pt idx="50">
                  <c:v>1975</c:v>
                </c:pt>
                <c:pt idx="51">
                  <c:v>1976</c:v>
                </c:pt>
                <c:pt idx="52">
                  <c:v>1977</c:v>
                </c:pt>
                <c:pt idx="53">
                  <c:v>1978</c:v>
                </c:pt>
                <c:pt idx="54">
                  <c:v>1979</c:v>
                </c:pt>
                <c:pt idx="55">
                  <c:v>1980</c:v>
                </c:pt>
                <c:pt idx="56">
                  <c:v>1981</c:v>
                </c:pt>
                <c:pt idx="57">
                  <c:v>1982</c:v>
                </c:pt>
                <c:pt idx="58">
                  <c:v>1983</c:v>
                </c:pt>
                <c:pt idx="59">
                  <c:v>1984</c:v>
                </c:pt>
                <c:pt idx="60">
                  <c:v>1985</c:v>
                </c:pt>
                <c:pt idx="61">
                  <c:v>1986</c:v>
                </c:pt>
                <c:pt idx="62">
                  <c:v>1987</c:v>
                </c:pt>
                <c:pt idx="63">
                  <c:v>1988</c:v>
                </c:pt>
                <c:pt idx="64">
                  <c:v>1989</c:v>
                </c:pt>
                <c:pt idx="65">
                  <c:v>1990</c:v>
                </c:pt>
                <c:pt idx="66">
                  <c:v>1991</c:v>
                </c:pt>
                <c:pt idx="67">
                  <c:v>1992</c:v>
                </c:pt>
                <c:pt idx="68">
                  <c:v>1993</c:v>
                </c:pt>
                <c:pt idx="69">
                  <c:v>1994</c:v>
                </c:pt>
                <c:pt idx="70">
                  <c:v>1995</c:v>
                </c:pt>
                <c:pt idx="71">
                  <c:v>1996</c:v>
                </c:pt>
                <c:pt idx="72">
                  <c:v>1997</c:v>
                </c:pt>
                <c:pt idx="73">
                  <c:v>1998</c:v>
                </c:pt>
                <c:pt idx="74">
                  <c:v>1999</c:v>
                </c:pt>
                <c:pt idx="75">
                  <c:v>2000</c:v>
                </c:pt>
                <c:pt idx="76">
                  <c:v>2001</c:v>
                </c:pt>
                <c:pt idx="77">
                  <c:v>2002</c:v>
                </c:pt>
                <c:pt idx="78">
                  <c:v>2003</c:v>
                </c:pt>
                <c:pt idx="79">
                  <c:v>2004</c:v>
                </c:pt>
                <c:pt idx="80">
                  <c:v>2005</c:v>
                </c:pt>
                <c:pt idx="81">
                  <c:v>2006</c:v>
                </c:pt>
                <c:pt idx="82">
                  <c:v>2007</c:v>
                </c:pt>
                <c:pt idx="83">
                  <c:v>2008</c:v>
                </c:pt>
                <c:pt idx="84">
                  <c:v>2009</c:v>
                </c:pt>
                <c:pt idx="85">
                  <c:v>2010</c:v>
                </c:pt>
                <c:pt idx="86">
                  <c:v>2011</c:v>
                </c:pt>
                <c:pt idx="87">
                  <c:v>2012</c:v>
                </c:pt>
                <c:pt idx="88">
                  <c:v>2013</c:v>
                </c:pt>
                <c:pt idx="89">
                  <c:v>2014</c:v>
                </c:pt>
                <c:pt idx="90">
                  <c:v>2015</c:v>
                </c:pt>
                <c:pt idx="91">
                  <c:v>2016</c:v>
                </c:pt>
                <c:pt idx="92">
                  <c:v>2017</c:v>
                </c:pt>
                <c:pt idx="93">
                  <c:v>2018</c:v>
                </c:pt>
              </c:numCache>
            </c:numRef>
          </c:cat>
          <c:val>
            <c:numRef>
              <c:f>Лист1!$C$8:$C$102</c:f>
              <c:numCache>
                <c:formatCode>General</c:formatCode>
                <c:ptCount val="95"/>
                <c:pt idx="0">
                  <c:v>1.92</c:v>
                </c:pt>
                <c:pt idx="1">
                  <c:v>1.5680000000000001</c:v>
                </c:pt>
                <c:pt idx="2">
                  <c:v>1.29</c:v>
                </c:pt>
                <c:pt idx="3">
                  <c:v>1.04</c:v>
                </c:pt>
                <c:pt idx="4">
                  <c:v>0.92800000000000005</c:v>
                </c:pt>
                <c:pt idx="5">
                  <c:v>0.89100000000000001</c:v>
                </c:pt>
                <c:pt idx="6">
                  <c:v>0.878</c:v>
                </c:pt>
                <c:pt idx="7">
                  <c:v>0.77600000000000002</c:v>
                </c:pt>
                <c:pt idx="8">
                  <c:v>0.93600000000000005</c:v>
                </c:pt>
                <c:pt idx="9">
                  <c:v>0.748</c:v>
                </c:pt>
                <c:pt idx="10">
                  <c:v>0.86199999999999999</c:v>
                </c:pt>
                <c:pt idx="11">
                  <c:v>0.79900000000000004</c:v>
                </c:pt>
                <c:pt idx="12">
                  <c:v>0.78600000000000003</c:v>
                </c:pt>
                <c:pt idx="13">
                  <c:v>0.79100000000000004</c:v>
                </c:pt>
                <c:pt idx="14">
                  <c:v>0.86099999999999999</c:v>
                </c:pt>
                <c:pt idx="15">
                  <c:v>0.91800000000000004</c:v>
                </c:pt>
                <c:pt idx="16">
                  <c:v>0.93700000000000006</c:v>
                </c:pt>
                <c:pt idx="17">
                  <c:v>0.91400000000000003</c:v>
                </c:pt>
                <c:pt idx="18">
                  <c:v>0.93100000000000005</c:v>
                </c:pt>
                <c:pt idx="19">
                  <c:v>0.93200000000000005</c:v>
                </c:pt>
                <c:pt idx="20">
                  <c:v>0.86399999999999999</c:v>
                </c:pt>
                <c:pt idx="21">
                  <c:v>0.75</c:v>
                </c:pt>
                <c:pt idx="22">
                  <c:v>0.72</c:v>
                </c:pt>
                <c:pt idx="23">
                  <c:v>0.66500000000000004</c:v>
                </c:pt>
                <c:pt idx="24">
                  <c:v>0.57599999999999996</c:v>
                </c:pt>
                <c:pt idx="25">
                  <c:v>0.52500000000000002</c:v>
                </c:pt>
                <c:pt idx="26">
                  <c:v>0.53500000000000003</c:v>
                </c:pt>
                <c:pt idx="27">
                  <c:v>0.51600000000000001</c:v>
                </c:pt>
                <c:pt idx="28">
                  <c:v>0.54800000000000004</c:v>
                </c:pt>
                <c:pt idx="29">
                  <c:v>0.55100000000000005</c:v>
                </c:pt>
                <c:pt idx="30">
                  <c:v>0.6</c:v>
                </c:pt>
                <c:pt idx="31">
                  <c:v>0.65</c:v>
                </c:pt>
                <c:pt idx="32">
                  <c:v>0.63500000000000001</c:v>
                </c:pt>
                <c:pt idx="33">
                  <c:v>0.69499999999999995</c:v>
                </c:pt>
                <c:pt idx="34">
                  <c:v>0.67100000000000004</c:v>
                </c:pt>
                <c:pt idx="35">
                  <c:v>0.64500000000000002</c:v>
                </c:pt>
                <c:pt idx="36">
                  <c:v>0.60799999999999998</c:v>
                </c:pt>
                <c:pt idx="37">
                  <c:v>0.54600000000000004</c:v>
                </c:pt>
                <c:pt idx="38">
                  <c:v>0.47499999999999998</c:v>
                </c:pt>
                <c:pt idx="39">
                  <c:v>0.44900000000000001</c:v>
                </c:pt>
                <c:pt idx="40">
                  <c:v>0.45200000000000001</c:v>
                </c:pt>
                <c:pt idx="41">
                  <c:v>0.504</c:v>
                </c:pt>
                <c:pt idx="42">
                  <c:v>0.51200000000000001</c:v>
                </c:pt>
                <c:pt idx="43">
                  <c:v>0.56399999999999995</c:v>
                </c:pt>
                <c:pt idx="44">
                  <c:v>0.56399999999999995</c:v>
                </c:pt>
                <c:pt idx="45">
                  <c:v>0.64</c:v>
                </c:pt>
                <c:pt idx="46">
                  <c:v>0.66400000000000003</c:v>
                </c:pt>
                <c:pt idx="47">
                  <c:v>0.61199999999999999</c:v>
                </c:pt>
                <c:pt idx="48">
                  <c:v>0.64300000000000002</c:v>
                </c:pt>
                <c:pt idx="49">
                  <c:v>0.68700000000000006</c:v>
                </c:pt>
                <c:pt idx="50">
                  <c:v>0.61699999999999999</c:v>
                </c:pt>
                <c:pt idx="51">
                  <c:v>0.65600000000000003</c:v>
                </c:pt>
                <c:pt idx="52">
                  <c:v>0.63800000000000001</c:v>
                </c:pt>
                <c:pt idx="53">
                  <c:v>0.61199999999999999</c:v>
                </c:pt>
                <c:pt idx="54">
                  <c:v>0.63600000000000001</c:v>
                </c:pt>
                <c:pt idx="55">
                  <c:v>0.52500000000000002</c:v>
                </c:pt>
                <c:pt idx="56">
                  <c:v>0.54800000000000004</c:v>
                </c:pt>
                <c:pt idx="57">
                  <c:v>0.48299999999999998</c:v>
                </c:pt>
                <c:pt idx="58">
                  <c:v>0.48299999999999998</c:v>
                </c:pt>
                <c:pt idx="59">
                  <c:v>0.48599999999999999</c:v>
                </c:pt>
                <c:pt idx="60">
                  <c:v>0.45800000000000002</c:v>
                </c:pt>
                <c:pt idx="61">
                  <c:v>0.44500000000000001</c:v>
                </c:pt>
                <c:pt idx="62">
                  <c:v>0.48599999999999999</c:v>
                </c:pt>
                <c:pt idx="63">
                  <c:v>0.47499999999999998</c:v>
                </c:pt>
                <c:pt idx="64">
                  <c:v>0.50700000000000001</c:v>
                </c:pt>
                <c:pt idx="65">
                  <c:v>0.53400000000000003</c:v>
                </c:pt>
                <c:pt idx="66">
                  <c:v>0.52500000000000002</c:v>
                </c:pt>
                <c:pt idx="67">
                  <c:v>0.54500000000000004</c:v>
                </c:pt>
                <c:pt idx="68">
                  <c:v>0.54400000000000004</c:v>
                </c:pt>
                <c:pt idx="69">
                  <c:v>0.53700000000000003</c:v>
                </c:pt>
                <c:pt idx="70">
                  <c:v>0.52100000000000002</c:v>
                </c:pt>
                <c:pt idx="71">
                  <c:v>0.50600000000000001</c:v>
                </c:pt>
                <c:pt idx="72">
                  <c:v>0.44800000000000001</c:v>
                </c:pt>
                <c:pt idx="73">
                  <c:v>0.46</c:v>
                </c:pt>
                <c:pt idx="74">
                  <c:v>0.39200000000000002</c:v>
                </c:pt>
                <c:pt idx="75">
                  <c:v>0.41299999999999998</c:v>
                </c:pt>
                <c:pt idx="76">
                  <c:v>0.39600000000000002</c:v>
                </c:pt>
                <c:pt idx="77">
                  <c:v>0.48</c:v>
                </c:pt>
                <c:pt idx="78">
                  <c:v>0.51100000000000001</c:v>
                </c:pt>
                <c:pt idx="79">
                  <c:v>0.54200000000000004</c:v>
                </c:pt>
                <c:pt idx="80">
                  <c:v>0.52700000000000002</c:v>
                </c:pt>
                <c:pt idx="81">
                  <c:v>0.54700000000000004</c:v>
                </c:pt>
                <c:pt idx="82">
                  <c:v>0.53500000000000003</c:v>
                </c:pt>
                <c:pt idx="83">
                  <c:v>0.51700000000000002</c:v>
                </c:pt>
                <c:pt idx="84">
                  <c:v>0.47</c:v>
                </c:pt>
                <c:pt idx="85">
                  <c:v>0.39600000000000002</c:v>
                </c:pt>
                <c:pt idx="86">
                  <c:v>0.38300000000000001</c:v>
                </c:pt>
                <c:pt idx="87">
                  <c:v>0.36899999999999999</c:v>
                </c:pt>
                <c:pt idx="88">
                  <c:v>0.35699999999999998</c:v>
                </c:pt>
                <c:pt idx="89">
                  <c:v>0.35399999999999998</c:v>
                </c:pt>
                <c:pt idx="90">
                  <c:v>0.44600000000000001</c:v>
                </c:pt>
                <c:pt idx="91">
                  <c:v>0.438</c:v>
                </c:pt>
                <c:pt idx="92">
                  <c:v>0.69</c:v>
                </c:pt>
                <c:pt idx="93">
                  <c:v>0.39</c:v>
                </c:pt>
              </c:numCache>
            </c:numRef>
          </c:val>
        </c:ser>
        <c:dLbls>
          <c:showLegendKey val="0"/>
          <c:showVal val="0"/>
          <c:showCatName val="0"/>
          <c:showSerName val="0"/>
          <c:showPercent val="0"/>
          <c:showBubbleSize val="0"/>
        </c:dLbls>
        <c:axId val="687409024"/>
        <c:axId val="688394240"/>
      </c:areaChart>
      <c:lineChart>
        <c:grouping val="standard"/>
        <c:varyColors val="0"/>
        <c:ser>
          <c:idx val="2"/>
          <c:order val="2"/>
          <c:tx>
            <c:strRef>
              <c:f>Лист1!$I$2</c:f>
              <c:strCache>
                <c:ptCount val="1"/>
                <c:pt idx="0">
                  <c:v>региональная кривая</c:v>
                </c:pt>
              </c:strCache>
            </c:strRef>
          </c:tx>
          <c:spPr>
            <a:ln w="12701">
              <a:solidFill>
                <a:srgbClr val="000000"/>
              </a:solidFill>
              <a:prstDash val="solid"/>
            </a:ln>
          </c:spPr>
          <c:marker>
            <c:symbol val="none"/>
          </c:marker>
          <c:val>
            <c:numRef>
              <c:f>Лист1!$I$7:$I$101</c:f>
              <c:numCache>
                <c:formatCode>General</c:formatCode>
                <c:ptCount val="95"/>
                <c:pt idx="0">
                  <c:v>1.3149999999999999</c:v>
                </c:pt>
                <c:pt idx="1">
                  <c:v>1.282</c:v>
                </c:pt>
                <c:pt idx="2">
                  <c:v>1.2490000000000001</c:v>
                </c:pt>
                <c:pt idx="3">
                  <c:v>1.216</c:v>
                </c:pt>
                <c:pt idx="4">
                  <c:v>1.1839999999999999</c:v>
                </c:pt>
                <c:pt idx="5">
                  <c:v>1.1519999999999999</c:v>
                </c:pt>
                <c:pt idx="6">
                  <c:v>1.1200000000000001</c:v>
                </c:pt>
                <c:pt idx="7">
                  <c:v>1.0900000000000001</c:v>
                </c:pt>
                <c:pt idx="8">
                  <c:v>1.06</c:v>
                </c:pt>
                <c:pt idx="9">
                  <c:v>1.0309999999999999</c:v>
                </c:pt>
                <c:pt idx="10">
                  <c:v>1.0029999999999999</c:v>
                </c:pt>
                <c:pt idx="11">
                  <c:v>0.97599999999999998</c:v>
                </c:pt>
                <c:pt idx="12">
                  <c:v>0.95</c:v>
                </c:pt>
                <c:pt idx="13">
                  <c:v>0.92500000000000004</c:v>
                </c:pt>
                <c:pt idx="14">
                  <c:v>0.90100000000000002</c:v>
                </c:pt>
                <c:pt idx="15">
                  <c:v>0.878</c:v>
                </c:pt>
                <c:pt idx="16">
                  <c:v>0.85599999999999998</c:v>
                </c:pt>
                <c:pt idx="17">
                  <c:v>0.83399999999999996</c:v>
                </c:pt>
                <c:pt idx="18">
                  <c:v>0.81399999999999995</c:v>
                </c:pt>
                <c:pt idx="19">
                  <c:v>0.79400000000000004</c:v>
                </c:pt>
                <c:pt idx="20">
                  <c:v>0.77500000000000002</c:v>
                </c:pt>
                <c:pt idx="21">
                  <c:v>0.75700000000000001</c:v>
                </c:pt>
                <c:pt idx="22">
                  <c:v>0.74</c:v>
                </c:pt>
                <c:pt idx="23">
                  <c:v>0.72399999999999998</c:v>
                </c:pt>
                <c:pt idx="24">
                  <c:v>0.70799999999999996</c:v>
                </c:pt>
                <c:pt idx="25">
                  <c:v>0.69299999999999995</c:v>
                </c:pt>
                <c:pt idx="26">
                  <c:v>0.68</c:v>
                </c:pt>
                <c:pt idx="27">
                  <c:v>0.66700000000000004</c:v>
                </c:pt>
                <c:pt idx="28">
                  <c:v>0.65500000000000003</c:v>
                </c:pt>
                <c:pt idx="29">
                  <c:v>0.64400000000000002</c:v>
                </c:pt>
                <c:pt idx="30">
                  <c:v>0.63400000000000001</c:v>
                </c:pt>
                <c:pt idx="31">
                  <c:v>0.625</c:v>
                </c:pt>
                <c:pt idx="32">
                  <c:v>0.61599999999999999</c:v>
                </c:pt>
                <c:pt idx="33">
                  <c:v>0.60799999999999998</c:v>
                </c:pt>
                <c:pt idx="34">
                  <c:v>0.60099999999999998</c:v>
                </c:pt>
                <c:pt idx="35">
                  <c:v>0.59499999999999997</c:v>
                </c:pt>
                <c:pt idx="36">
                  <c:v>0.58899999999999997</c:v>
                </c:pt>
                <c:pt idx="37">
                  <c:v>0.58299999999999996</c:v>
                </c:pt>
                <c:pt idx="38">
                  <c:v>0.57899999999999996</c:v>
                </c:pt>
                <c:pt idx="39">
                  <c:v>0.57399999999999995</c:v>
                </c:pt>
                <c:pt idx="40">
                  <c:v>0.57099999999999995</c:v>
                </c:pt>
                <c:pt idx="41">
                  <c:v>0.56699999999999995</c:v>
                </c:pt>
                <c:pt idx="42">
                  <c:v>0.56399999999999995</c:v>
                </c:pt>
                <c:pt idx="43">
                  <c:v>0.56200000000000006</c:v>
                </c:pt>
                <c:pt idx="44">
                  <c:v>0.56000000000000005</c:v>
                </c:pt>
                <c:pt idx="45">
                  <c:v>0.55800000000000005</c:v>
                </c:pt>
                <c:pt idx="46">
                  <c:v>0.55600000000000005</c:v>
                </c:pt>
                <c:pt idx="47">
                  <c:v>0.55400000000000005</c:v>
                </c:pt>
                <c:pt idx="48">
                  <c:v>0.55200000000000005</c:v>
                </c:pt>
                <c:pt idx="49">
                  <c:v>0.55000000000000004</c:v>
                </c:pt>
                <c:pt idx="50">
                  <c:v>0.54800000000000004</c:v>
                </c:pt>
                <c:pt idx="51">
                  <c:v>0.54600000000000004</c:v>
                </c:pt>
                <c:pt idx="52">
                  <c:v>0.54400000000000004</c:v>
                </c:pt>
                <c:pt idx="53">
                  <c:v>0.54200000000000004</c:v>
                </c:pt>
                <c:pt idx="54">
                  <c:v>0.54</c:v>
                </c:pt>
                <c:pt idx="55">
                  <c:v>0.53700000000000003</c:v>
                </c:pt>
                <c:pt idx="56">
                  <c:v>0.53500000000000003</c:v>
                </c:pt>
                <c:pt idx="57">
                  <c:v>0.53200000000000003</c:v>
                </c:pt>
                <c:pt idx="58">
                  <c:v>0.53</c:v>
                </c:pt>
                <c:pt idx="59">
                  <c:v>0.52700000000000002</c:v>
                </c:pt>
                <c:pt idx="60">
                  <c:v>0.52400000000000002</c:v>
                </c:pt>
                <c:pt idx="61">
                  <c:v>0.52100000000000002</c:v>
                </c:pt>
                <c:pt idx="62">
                  <c:v>0.51900000000000002</c:v>
                </c:pt>
                <c:pt idx="63">
                  <c:v>0.51600000000000001</c:v>
                </c:pt>
                <c:pt idx="64">
                  <c:v>0.51300000000000001</c:v>
                </c:pt>
                <c:pt idx="65">
                  <c:v>0.51</c:v>
                </c:pt>
                <c:pt idx="66">
                  <c:v>0.50800000000000001</c:v>
                </c:pt>
                <c:pt idx="67">
                  <c:v>0.505</c:v>
                </c:pt>
                <c:pt idx="68">
                  <c:v>0.503</c:v>
                </c:pt>
                <c:pt idx="69">
                  <c:v>0.5</c:v>
                </c:pt>
                <c:pt idx="70">
                  <c:v>0.497</c:v>
                </c:pt>
                <c:pt idx="71">
                  <c:v>0.49399999999999999</c:v>
                </c:pt>
                <c:pt idx="72">
                  <c:v>0.49199999999999999</c:v>
                </c:pt>
                <c:pt idx="73">
                  <c:v>0.48899999999999999</c:v>
                </c:pt>
                <c:pt idx="74">
                  <c:v>0.48699999999999999</c:v>
                </c:pt>
                <c:pt idx="75">
                  <c:v>0.48399999999999999</c:v>
                </c:pt>
                <c:pt idx="76">
                  <c:v>0.48099999999999998</c:v>
                </c:pt>
                <c:pt idx="77">
                  <c:v>0.47899999999999998</c:v>
                </c:pt>
                <c:pt idx="78">
                  <c:v>0.47699999999999998</c:v>
                </c:pt>
                <c:pt idx="79">
                  <c:v>0.47399999999999998</c:v>
                </c:pt>
                <c:pt idx="80">
                  <c:v>0.47199999999999998</c:v>
                </c:pt>
                <c:pt idx="81">
                  <c:v>0.46899999999999997</c:v>
                </c:pt>
                <c:pt idx="82">
                  <c:v>0.46700000000000003</c:v>
                </c:pt>
                <c:pt idx="83">
                  <c:v>0.46400000000000002</c:v>
                </c:pt>
                <c:pt idx="84">
                  <c:v>0.46200000000000002</c:v>
                </c:pt>
                <c:pt idx="85">
                  <c:v>0.45900000000000002</c:v>
                </c:pt>
                <c:pt idx="86">
                  <c:v>0.45700000000000002</c:v>
                </c:pt>
                <c:pt idx="87">
                  <c:v>0.45500000000000002</c:v>
                </c:pt>
                <c:pt idx="88">
                  <c:v>0.45200000000000001</c:v>
                </c:pt>
                <c:pt idx="89">
                  <c:v>0.45</c:v>
                </c:pt>
                <c:pt idx="90">
                  <c:v>0.44800000000000001</c:v>
                </c:pt>
                <c:pt idx="91">
                  <c:v>0.44600000000000001</c:v>
                </c:pt>
                <c:pt idx="92">
                  <c:v>0.443</c:v>
                </c:pt>
                <c:pt idx="93">
                  <c:v>0.441</c:v>
                </c:pt>
                <c:pt idx="94">
                  <c:v>0.439</c:v>
                </c:pt>
              </c:numCache>
            </c:numRef>
          </c:val>
          <c:smooth val="0"/>
        </c:ser>
        <c:dLbls>
          <c:showLegendKey val="0"/>
          <c:showVal val="0"/>
          <c:showCatName val="0"/>
          <c:showSerName val="0"/>
          <c:showPercent val="0"/>
          <c:showBubbleSize val="0"/>
        </c:dLbls>
        <c:marker val="1"/>
        <c:smooth val="0"/>
        <c:axId val="687409024"/>
        <c:axId val="688394240"/>
      </c:lineChart>
      <c:catAx>
        <c:axId val="687409024"/>
        <c:scaling>
          <c:orientation val="minMax"/>
        </c:scaling>
        <c:delete val="0"/>
        <c:axPos val="b"/>
        <c:title>
          <c:tx>
            <c:rich>
              <a:bodyPr/>
              <a:lstStyle/>
              <a:p>
                <a:pPr>
                  <a:defRPr sz="1000" b="0" i="0" u="none" strike="noStrike" baseline="0">
                    <a:solidFill>
                      <a:srgbClr val="000000"/>
                    </a:solidFill>
                    <a:latin typeface="Times New Roman"/>
                    <a:ea typeface="Times New Roman"/>
                    <a:cs typeface="Times New Roman"/>
                  </a:defRPr>
                </a:pPr>
                <a:r>
                  <a:rPr lang="ru-RU"/>
                  <a:t>Голы</a:t>
                </a:r>
              </a:p>
            </c:rich>
          </c:tx>
          <c:layout>
            <c:manualLayout>
              <c:xMode val="edge"/>
              <c:yMode val="edge"/>
              <c:x val="0.93070054565547722"/>
              <c:y val="0.84325625963421236"/>
            </c:manualLayout>
          </c:layout>
          <c:overlay val="0"/>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ru-RU"/>
          </a:p>
        </c:txPr>
        <c:crossAx val="688394240"/>
        <c:crosses val="autoZero"/>
        <c:auto val="1"/>
        <c:lblAlgn val="ctr"/>
        <c:lblOffset val="100"/>
        <c:tickLblSkip val="5"/>
        <c:tickMarkSkip val="1"/>
        <c:noMultiLvlLbl val="0"/>
      </c:catAx>
      <c:valAx>
        <c:axId val="688394240"/>
        <c:scaling>
          <c:orientation val="minMax"/>
          <c:max val="2"/>
          <c:min val="0"/>
        </c:scaling>
        <c:delete val="0"/>
        <c:axPos val="l"/>
        <c:title>
          <c:tx>
            <c:rich>
              <a:bodyPr/>
              <a:lstStyle/>
              <a:p>
                <a:pPr>
                  <a:defRPr sz="1000" b="0" i="0" u="none" strike="noStrike" baseline="0">
                    <a:solidFill>
                      <a:srgbClr val="000000"/>
                    </a:solidFill>
                    <a:latin typeface="Times New Roman"/>
                    <a:ea typeface="Times New Roman"/>
                    <a:cs typeface="Times New Roman"/>
                  </a:defRPr>
                </a:pPr>
                <a:r>
                  <a:rPr lang="ru-RU"/>
                  <a:t>Индексы радиального прироста</a:t>
                </a:r>
              </a:p>
            </c:rich>
          </c:tx>
          <c:layout>
            <c:manualLayout>
              <c:xMode val="edge"/>
              <c:yMode val="edge"/>
              <c:x val="8.0731109269236087E-3"/>
              <c:y val="2.4418614339874186E-2"/>
            </c:manualLayout>
          </c:layout>
          <c:overlay val="0"/>
        </c:title>
        <c:numFmt formatCode="\О\с\н\о\в\н\о\й" sourceLinked="0"/>
        <c:majorTickMark val="out"/>
        <c:minorTickMark val="none"/>
        <c:tickLblPos val="nextTo"/>
        <c:spPr>
          <a:ln w="3175">
            <a:solidFill>
              <a:srgbClr val="000000"/>
            </a:solidFill>
            <a:prstDash val="solid"/>
          </a:ln>
        </c:spPr>
        <c:txPr>
          <a:bodyPr rot="0" vert="horz"/>
          <a:lstStyle/>
          <a:p>
            <a:pPr>
              <a:defRPr/>
            </a:pPr>
            <a:endParaRPr lang="ru-RU"/>
          </a:p>
        </c:txPr>
        <c:crossAx val="687409024"/>
        <c:crosses val="autoZero"/>
        <c:crossBetween val="midCat"/>
        <c:majorUnit val="0.5"/>
        <c:minorUnit val="0.1"/>
      </c:valAx>
      <c:spPr>
        <a:solidFill>
          <a:srgbClr val="FFFFFF"/>
        </a:solidFill>
        <a:ln w="25402">
          <a:noFill/>
        </a:ln>
      </c:spPr>
    </c:plotArea>
    <c:legend>
      <c:legendPos val="r"/>
      <c:layout>
        <c:manualLayout>
          <c:xMode val="edge"/>
          <c:yMode val="edge"/>
          <c:x val="0.10098792535675083"/>
          <c:y val="0.87002652519893897"/>
          <c:w val="0.79253567508232714"/>
          <c:h val="8.7533156498673742E-2"/>
        </c:manualLayout>
      </c:layout>
      <c:overlay val="0"/>
      <c:spPr>
        <a:solidFill>
          <a:srgbClr val="FFFFFF"/>
        </a:solidFill>
        <a:ln w="3175">
          <a:noFill/>
          <a:prstDash val="solid"/>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90843932969918"/>
          <c:y val="2.7379383510312136E-2"/>
          <c:w val="0.87019954236489672"/>
          <c:h val="0.62470124485366396"/>
        </c:manualLayout>
      </c:layout>
      <c:lineChart>
        <c:grouping val="standard"/>
        <c:varyColors val="0"/>
        <c:ser>
          <c:idx val="0"/>
          <c:order val="0"/>
          <c:tx>
            <c:strRef>
              <c:f>'сравн.  кон. и ру'!$D$2</c:f>
              <c:strCache>
                <c:ptCount val="1"/>
                <c:pt idx="0">
                  <c:v>ПП-2 (контроль)</c:v>
                </c:pt>
              </c:strCache>
            </c:strRef>
          </c:tx>
          <c:spPr>
            <a:ln w="15859">
              <a:solidFill>
                <a:schemeClr val="tx1"/>
              </a:solidFill>
              <a:prstDash val="sysDash"/>
            </a:ln>
          </c:spPr>
          <c:marker>
            <c:symbol val="none"/>
          </c:marker>
          <c:errBars>
            <c:errDir val="y"/>
            <c:errBarType val="both"/>
            <c:errValType val="cust"/>
            <c:noEndCap val="0"/>
            <c:plus>
              <c:numRef>
                <c:f>'сравн.  кон. и ру'!$H$3:$H$42</c:f>
                <c:numCache>
                  <c:formatCode>General</c:formatCode>
                  <c:ptCount val="40"/>
                  <c:pt idx="1">
                    <c:v>0.44</c:v>
                  </c:pt>
                  <c:pt idx="2">
                    <c:v>0.87846812691183984</c:v>
                  </c:pt>
                  <c:pt idx="3">
                    <c:v>0.46</c:v>
                  </c:pt>
                  <c:pt idx="4">
                    <c:v>0.44</c:v>
                  </c:pt>
                  <c:pt idx="5">
                    <c:v>0.34226149256515714</c:v>
                  </c:pt>
                  <c:pt idx="6">
                    <c:v>0.28689227931541872</c:v>
                  </c:pt>
                  <c:pt idx="7">
                    <c:v>0.22195020778733837</c:v>
                  </c:pt>
                  <c:pt idx="8">
                    <c:v>0.23293037586368989</c:v>
                  </c:pt>
                  <c:pt idx="9">
                    <c:v>0.17977207792090497</c:v>
                  </c:pt>
                  <c:pt idx="10">
                    <c:v>0.18213273547974071</c:v>
                  </c:pt>
                  <c:pt idx="11">
                    <c:v>0.20292855885754496</c:v>
                  </c:pt>
                  <c:pt idx="12">
                    <c:v>0.17218002206992569</c:v>
                  </c:pt>
                  <c:pt idx="13">
                    <c:v>0.1941107931053811</c:v>
                  </c:pt>
                  <c:pt idx="14">
                    <c:v>0.27156808845419655</c:v>
                  </c:pt>
                  <c:pt idx="15">
                    <c:v>0.18583146486355123</c:v>
                  </c:pt>
                  <c:pt idx="16">
                    <c:v>0.20735599018756731</c:v>
                  </c:pt>
                  <c:pt idx="17">
                    <c:v>0.16139186266145286</c:v>
                  </c:pt>
                  <c:pt idx="18">
                    <c:v>0.11296973045909216</c:v>
                  </c:pt>
                  <c:pt idx="19">
                    <c:v>0.11816446166254897</c:v>
                  </c:pt>
                  <c:pt idx="20">
                    <c:v>0.14238946590250295</c:v>
                  </c:pt>
                  <c:pt idx="21">
                    <c:v>0.16775307250042654</c:v>
                  </c:pt>
                  <c:pt idx="22">
                    <c:v>0.14287603018001294</c:v>
                  </c:pt>
                  <c:pt idx="23">
                    <c:v>0.14112018518506356</c:v>
                  </c:pt>
                  <c:pt idx="24">
                    <c:v>8.6936221833403188E-2</c:v>
                  </c:pt>
                  <c:pt idx="25">
                    <c:v>8.350848260306655E-2</c:v>
                  </c:pt>
                  <c:pt idx="26">
                    <c:v>7.6767006801967547E-2</c:v>
                  </c:pt>
                  <c:pt idx="27">
                    <c:v>5.8826524629626044E-2</c:v>
                  </c:pt>
                  <c:pt idx="28">
                    <c:v>8.8173541004846381E-2</c:v>
                  </c:pt>
                  <c:pt idx="29">
                    <c:v>6.0933078044687651E-2</c:v>
                  </c:pt>
                  <c:pt idx="30">
                    <c:v>0.11828231764159283</c:v>
                  </c:pt>
                  <c:pt idx="31">
                    <c:v>9.1971009925229497E-2</c:v>
                  </c:pt>
                  <c:pt idx="32">
                    <c:v>6.3222569809628287E-2</c:v>
                  </c:pt>
                  <c:pt idx="33">
                    <c:v>4.790295745915206E-2</c:v>
                  </c:pt>
                  <c:pt idx="34">
                    <c:v>5.9081074239838646E-2</c:v>
                  </c:pt>
                  <c:pt idx="35">
                    <c:v>6.6025550609846009E-2</c:v>
                  </c:pt>
                  <c:pt idx="36">
                    <c:v>7.1451615330469204E-2</c:v>
                  </c:pt>
                  <c:pt idx="37">
                    <c:v>8.842450640706645E-2</c:v>
                  </c:pt>
                  <c:pt idx="38">
                    <c:v>8.977193325310534E-2</c:v>
                  </c:pt>
                  <c:pt idx="39">
                    <c:v>9.2360020210767294E-2</c:v>
                  </c:pt>
                </c:numCache>
              </c:numRef>
            </c:plus>
            <c:minus>
              <c:numRef>
                <c:f>'сравн.  кон. и ру'!$H$3:$H$42</c:f>
                <c:numCache>
                  <c:formatCode>General</c:formatCode>
                  <c:ptCount val="40"/>
                  <c:pt idx="1">
                    <c:v>0.44</c:v>
                  </c:pt>
                  <c:pt idx="2">
                    <c:v>0.87846812691183984</c:v>
                  </c:pt>
                  <c:pt idx="3">
                    <c:v>0.46</c:v>
                  </c:pt>
                  <c:pt idx="4">
                    <c:v>0.44</c:v>
                  </c:pt>
                  <c:pt idx="5">
                    <c:v>0.34226149256515714</c:v>
                  </c:pt>
                  <c:pt idx="6">
                    <c:v>0.28689227931541872</c:v>
                  </c:pt>
                  <c:pt idx="7">
                    <c:v>0.22195020778733837</c:v>
                  </c:pt>
                  <c:pt idx="8">
                    <c:v>0.23293037586368989</c:v>
                  </c:pt>
                  <c:pt idx="9">
                    <c:v>0.17977207792090497</c:v>
                  </c:pt>
                  <c:pt idx="10">
                    <c:v>0.18213273547974071</c:v>
                  </c:pt>
                  <c:pt idx="11">
                    <c:v>0.20292855885754496</c:v>
                  </c:pt>
                  <c:pt idx="12">
                    <c:v>0.17218002206992569</c:v>
                  </c:pt>
                  <c:pt idx="13">
                    <c:v>0.1941107931053811</c:v>
                  </c:pt>
                  <c:pt idx="14">
                    <c:v>0.27156808845419655</c:v>
                  </c:pt>
                  <c:pt idx="15">
                    <c:v>0.18583146486355123</c:v>
                  </c:pt>
                  <c:pt idx="16">
                    <c:v>0.20735599018756731</c:v>
                  </c:pt>
                  <c:pt idx="17">
                    <c:v>0.16139186266145286</c:v>
                  </c:pt>
                  <c:pt idx="18">
                    <c:v>0.11296973045909216</c:v>
                  </c:pt>
                  <c:pt idx="19">
                    <c:v>0.11816446166254897</c:v>
                  </c:pt>
                  <c:pt idx="20">
                    <c:v>0.14238946590250295</c:v>
                  </c:pt>
                  <c:pt idx="21">
                    <c:v>0.16775307250042654</c:v>
                  </c:pt>
                  <c:pt idx="22">
                    <c:v>0.14287603018001294</c:v>
                  </c:pt>
                  <c:pt idx="23">
                    <c:v>0.14112018518506356</c:v>
                  </c:pt>
                  <c:pt idx="24">
                    <c:v>8.6936221833403188E-2</c:v>
                  </c:pt>
                  <c:pt idx="25">
                    <c:v>8.350848260306655E-2</c:v>
                  </c:pt>
                  <c:pt idx="26">
                    <c:v>7.6767006801967547E-2</c:v>
                  </c:pt>
                  <c:pt idx="27">
                    <c:v>5.8826524629626044E-2</c:v>
                  </c:pt>
                  <c:pt idx="28">
                    <c:v>8.8173541004846381E-2</c:v>
                  </c:pt>
                  <c:pt idx="29">
                    <c:v>6.0933078044687651E-2</c:v>
                  </c:pt>
                  <c:pt idx="30">
                    <c:v>0.11828231764159283</c:v>
                  </c:pt>
                  <c:pt idx="31">
                    <c:v>9.1971009925229497E-2</c:v>
                  </c:pt>
                  <c:pt idx="32">
                    <c:v>6.3222569809628287E-2</c:v>
                  </c:pt>
                  <c:pt idx="33">
                    <c:v>4.790295745915206E-2</c:v>
                  </c:pt>
                  <c:pt idx="34">
                    <c:v>5.9081074239838646E-2</c:v>
                  </c:pt>
                  <c:pt idx="35">
                    <c:v>6.6025550609846009E-2</c:v>
                  </c:pt>
                  <c:pt idx="36">
                    <c:v>7.1451615330469204E-2</c:v>
                  </c:pt>
                  <c:pt idx="37">
                    <c:v>8.842450640706645E-2</c:v>
                  </c:pt>
                  <c:pt idx="38">
                    <c:v>8.977193325310534E-2</c:v>
                  </c:pt>
                  <c:pt idx="39">
                    <c:v>9.2360020210767294E-2</c:v>
                  </c:pt>
                </c:numCache>
              </c:numRef>
            </c:minus>
            <c:spPr>
              <a:ln w="3172">
                <a:solidFill>
                  <a:srgbClr val="000000"/>
                </a:solidFill>
                <a:prstDash val="solid"/>
              </a:ln>
            </c:spPr>
          </c:errBars>
          <c:cat>
            <c:numRef>
              <c:f>'сравн.  кон. и ру'!$C$3:$C$42</c:f>
              <c:numCache>
                <c:formatCode>General</c:formatCode>
                <c:ptCount val="40"/>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numCache>
            </c:numRef>
          </c:cat>
          <c:val>
            <c:numRef>
              <c:f>'сравн.  кон. и ру'!$D$3:$D$42</c:f>
              <c:numCache>
                <c:formatCode>0.00</c:formatCode>
                <c:ptCount val="40"/>
                <c:pt idx="0">
                  <c:v>5.78</c:v>
                </c:pt>
                <c:pt idx="1">
                  <c:v>4.7299999999999995</c:v>
                </c:pt>
                <c:pt idx="2">
                  <c:v>6.0775000000000006</c:v>
                </c:pt>
                <c:pt idx="3">
                  <c:v>4.7275</c:v>
                </c:pt>
                <c:pt idx="4">
                  <c:v>4.6483333333333334</c:v>
                </c:pt>
                <c:pt idx="5">
                  <c:v>3.1733333333333338</c:v>
                </c:pt>
                <c:pt idx="6">
                  <c:v>4.7270588235294113</c:v>
                </c:pt>
                <c:pt idx="7">
                  <c:v>4.887999999999999</c:v>
                </c:pt>
                <c:pt idx="8">
                  <c:v>3.9916</c:v>
                </c:pt>
                <c:pt idx="9">
                  <c:v>3.5420000000000003</c:v>
                </c:pt>
                <c:pt idx="10">
                  <c:v>3.5040000000000004</c:v>
                </c:pt>
                <c:pt idx="11">
                  <c:v>3.0439999999999996</c:v>
                </c:pt>
                <c:pt idx="12">
                  <c:v>2.9835999999999996</c:v>
                </c:pt>
                <c:pt idx="13">
                  <c:v>3.5559999999999996</c:v>
                </c:pt>
                <c:pt idx="14">
                  <c:v>4.1616000000000009</c:v>
                </c:pt>
                <c:pt idx="15">
                  <c:v>3.0880000000000001</c:v>
                </c:pt>
                <c:pt idx="16">
                  <c:v>3.1028000000000002</c:v>
                </c:pt>
                <c:pt idx="17">
                  <c:v>1.9000000000000004</c:v>
                </c:pt>
                <c:pt idx="18">
                  <c:v>1.4596000000000005</c:v>
                </c:pt>
                <c:pt idx="19">
                  <c:v>1.3028</c:v>
                </c:pt>
                <c:pt idx="20">
                  <c:v>1.3223999999999998</c:v>
                </c:pt>
                <c:pt idx="21">
                  <c:v>1.7523999999999995</c:v>
                </c:pt>
                <c:pt idx="22">
                  <c:v>1.4584000000000004</c:v>
                </c:pt>
                <c:pt idx="23">
                  <c:v>1.3768</c:v>
                </c:pt>
                <c:pt idx="24">
                  <c:v>0.99319999999999975</c:v>
                </c:pt>
                <c:pt idx="25">
                  <c:v>0.97199999999999998</c:v>
                </c:pt>
                <c:pt idx="26">
                  <c:v>0.88280000000000003</c:v>
                </c:pt>
                <c:pt idx="27">
                  <c:v>0.76839999999999986</c:v>
                </c:pt>
                <c:pt idx="28">
                  <c:v>0.97680000000000011</c:v>
                </c:pt>
                <c:pt idx="29">
                  <c:v>0.59720000000000018</c:v>
                </c:pt>
                <c:pt idx="30">
                  <c:v>0.97519999999999996</c:v>
                </c:pt>
                <c:pt idx="31">
                  <c:v>0.78600000000000003</c:v>
                </c:pt>
                <c:pt idx="32">
                  <c:v>0.59760000000000013</c:v>
                </c:pt>
                <c:pt idx="33">
                  <c:v>0.37560000000000004</c:v>
                </c:pt>
                <c:pt idx="34">
                  <c:v>0.48320000000000007</c:v>
                </c:pt>
                <c:pt idx="35">
                  <c:v>0.51519999999999999</c:v>
                </c:pt>
                <c:pt idx="36">
                  <c:v>0.54599999999999993</c:v>
                </c:pt>
                <c:pt idx="37">
                  <c:v>0.61839999999999995</c:v>
                </c:pt>
                <c:pt idx="38">
                  <c:v>0.70200000000000007</c:v>
                </c:pt>
                <c:pt idx="39">
                  <c:v>0.97519999999999984</c:v>
                </c:pt>
              </c:numCache>
            </c:numRef>
          </c:val>
          <c:smooth val="0"/>
        </c:ser>
        <c:ser>
          <c:idx val="1"/>
          <c:order val="1"/>
          <c:tx>
            <c:strRef>
              <c:f>'сравн.  кон. и ру'!$E$2</c:f>
              <c:strCache>
                <c:ptCount val="1"/>
                <c:pt idx="0">
                  <c:v>ПП-1 (умеренная интенсивность изреживания)</c:v>
                </c:pt>
              </c:strCache>
            </c:strRef>
          </c:tx>
          <c:spPr>
            <a:ln w="15859">
              <a:solidFill>
                <a:schemeClr val="tx1"/>
              </a:solidFill>
            </a:ln>
          </c:spPr>
          <c:marker>
            <c:symbol val="none"/>
          </c:marker>
          <c:errBars>
            <c:errDir val="y"/>
            <c:errBarType val="both"/>
            <c:errValType val="cust"/>
            <c:noEndCap val="0"/>
            <c:plus>
              <c:numRef>
                <c:f>'сравн.  кон. и ру'!$I$3:$I$42</c:f>
                <c:numCache>
                  <c:formatCode>General</c:formatCode>
                  <c:ptCount val="40"/>
                  <c:pt idx="1">
                    <c:v>0.13796134724383244</c:v>
                  </c:pt>
                  <c:pt idx="2">
                    <c:v>0.47</c:v>
                  </c:pt>
                  <c:pt idx="3">
                    <c:v>0.36</c:v>
                  </c:pt>
                  <c:pt idx="4">
                    <c:v>0.38</c:v>
                  </c:pt>
                  <c:pt idx="5">
                    <c:v>0.23822472669343875</c:v>
                  </c:pt>
                  <c:pt idx="6">
                    <c:v>0.32945158537702923</c:v>
                  </c:pt>
                  <c:pt idx="7">
                    <c:v>0.25109563093175402</c:v>
                  </c:pt>
                  <c:pt idx="8">
                    <c:v>0.28640150453394664</c:v>
                  </c:pt>
                  <c:pt idx="9">
                    <c:v>0.27313987654105465</c:v>
                  </c:pt>
                  <c:pt idx="10">
                    <c:v>0.23848304940000534</c:v>
                  </c:pt>
                  <c:pt idx="11">
                    <c:v>0.28093590344523373</c:v>
                  </c:pt>
                  <c:pt idx="12">
                    <c:v>0.25676971465699616</c:v>
                  </c:pt>
                  <c:pt idx="13">
                    <c:v>0.27074157419945705</c:v>
                  </c:pt>
                  <c:pt idx="14">
                    <c:v>0.21012953398471154</c:v>
                  </c:pt>
                  <c:pt idx="15">
                    <c:v>0.17111999483280321</c:v>
                  </c:pt>
                  <c:pt idx="16">
                    <c:v>0.16809787249350461</c:v>
                  </c:pt>
                  <c:pt idx="17">
                    <c:v>0.1482283890784693</c:v>
                  </c:pt>
                  <c:pt idx="18">
                    <c:v>0.20957245106382172</c:v>
                  </c:pt>
                  <c:pt idx="19">
                    <c:v>0.23199597306693581</c:v>
                  </c:pt>
                  <c:pt idx="20">
                    <c:v>0.21428576719576059</c:v>
                  </c:pt>
                  <c:pt idx="21">
                    <c:v>0.20257665607690736</c:v>
                  </c:pt>
                  <c:pt idx="22">
                    <c:v>0.1753186279754459</c:v>
                  </c:pt>
                  <c:pt idx="23">
                    <c:v>0.190142326451503</c:v>
                  </c:pt>
                  <c:pt idx="24">
                    <c:v>0.15291995445871473</c:v>
                  </c:pt>
                  <c:pt idx="25">
                    <c:v>0.23085201550175929</c:v>
                  </c:pt>
                  <c:pt idx="26">
                    <c:v>0.21915473571415486</c:v>
                  </c:pt>
                  <c:pt idx="27">
                    <c:v>0.16385083919732885</c:v>
                  </c:pt>
                  <c:pt idx="28">
                    <c:v>0.19981198645720136</c:v>
                  </c:pt>
                  <c:pt idx="29">
                    <c:v>9.0525800934985551E-2</c:v>
                  </c:pt>
                  <c:pt idx="30">
                    <c:v>9.0336985642961942E-2</c:v>
                  </c:pt>
                  <c:pt idx="31">
                    <c:v>8.9239924766528048E-2</c:v>
                  </c:pt>
                  <c:pt idx="32">
                    <c:v>8.6036827003946562E-2</c:v>
                  </c:pt>
                  <c:pt idx="33">
                    <c:v>6.9001626718476122E-2</c:v>
                  </c:pt>
                  <c:pt idx="34">
                    <c:v>0.11337654238338628</c:v>
                  </c:pt>
                  <c:pt idx="35">
                    <c:v>0.11455395108747041</c:v>
                  </c:pt>
                  <c:pt idx="36">
                    <c:v>0.14017530326793812</c:v>
                  </c:pt>
                  <c:pt idx="37">
                    <c:v>0.14709158443135475</c:v>
                  </c:pt>
                  <c:pt idx="38">
                    <c:v>0.12169742461488126</c:v>
                  </c:pt>
                  <c:pt idx="39">
                    <c:v>0.13092263685896777</c:v>
                  </c:pt>
                </c:numCache>
              </c:numRef>
            </c:plus>
            <c:minus>
              <c:numRef>
                <c:f>'сравн.  кон. и ру'!$I$3:$I$42</c:f>
                <c:numCache>
                  <c:formatCode>General</c:formatCode>
                  <c:ptCount val="40"/>
                  <c:pt idx="1">
                    <c:v>0.13796134724383244</c:v>
                  </c:pt>
                  <c:pt idx="2">
                    <c:v>0.47</c:v>
                  </c:pt>
                  <c:pt idx="3">
                    <c:v>0.36</c:v>
                  </c:pt>
                  <c:pt idx="4">
                    <c:v>0.38</c:v>
                  </c:pt>
                  <c:pt idx="5">
                    <c:v>0.23822472669343875</c:v>
                  </c:pt>
                  <c:pt idx="6">
                    <c:v>0.32945158537702923</c:v>
                  </c:pt>
                  <c:pt idx="7">
                    <c:v>0.25109563093175402</c:v>
                  </c:pt>
                  <c:pt idx="8">
                    <c:v>0.28640150453394664</c:v>
                  </c:pt>
                  <c:pt idx="9">
                    <c:v>0.27313987654105465</c:v>
                  </c:pt>
                  <c:pt idx="10">
                    <c:v>0.23848304940000534</c:v>
                  </c:pt>
                  <c:pt idx="11">
                    <c:v>0.28093590344523373</c:v>
                  </c:pt>
                  <c:pt idx="12">
                    <c:v>0.25676971465699616</c:v>
                  </c:pt>
                  <c:pt idx="13">
                    <c:v>0.27074157419945705</c:v>
                  </c:pt>
                  <c:pt idx="14">
                    <c:v>0.21012953398471154</c:v>
                  </c:pt>
                  <c:pt idx="15">
                    <c:v>0.17111999483280321</c:v>
                  </c:pt>
                  <c:pt idx="16">
                    <c:v>0.16809787249350461</c:v>
                  </c:pt>
                  <c:pt idx="17">
                    <c:v>0.1482283890784693</c:v>
                  </c:pt>
                  <c:pt idx="18">
                    <c:v>0.20957245106382172</c:v>
                  </c:pt>
                  <c:pt idx="19">
                    <c:v>0.23199597306693581</c:v>
                  </c:pt>
                  <c:pt idx="20">
                    <c:v>0.21428576719576059</c:v>
                  </c:pt>
                  <c:pt idx="21">
                    <c:v>0.20257665607690736</c:v>
                  </c:pt>
                  <c:pt idx="22">
                    <c:v>0.1753186279754459</c:v>
                  </c:pt>
                  <c:pt idx="23">
                    <c:v>0.190142326451503</c:v>
                  </c:pt>
                  <c:pt idx="24">
                    <c:v>0.15291995445871473</c:v>
                  </c:pt>
                  <c:pt idx="25">
                    <c:v>0.23085201550175929</c:v>
                  </c:pt>
                  <c:pt idx="26">
                    <c:v>0.21915473571415486</c:v>
                  </c:pt>
                  <c:pt idx="27">
                    <c:v>0.16385083919732885</c:v>
                  </c:pt>
                  <c:pt idx="28">
                    <c:v>0.19981198645720136</c:v>
                  </c:pt>
                  <c:pt idx="29">
                    <c:v>9.0525800934985551E-2</c:v>
                  </c:pt>
                  <c:pt idx="30">
                    <c:v>9.0336985642961942E-2</c:v>
                  </c:pt>
                  <c:pt idx="31">
                    <c:v>8.9239924766528048E-2</c:v>
                  </c:pt>
                  <c:pt idx="32">
                    <c:v>8.6036827003946562E-2</c:v>
                  </c:pt>
                  <c:pt idx="33">
                    <c:v>6.9001626718476122E-2</c:v>
                  </c:pt>
                  <c:pt idx="34">
                    <c:v>0.11337654238338628</c:v>
                  </c:pt>
                  <c:pt idx="35">
                    <c:v>0.11455395108747041</c:v>
                  </c:pt>
                  <c:pt idx="36">
                    <c:v>0.14017530326793812</c:v>
                  </c:pt>
                  <c:pt idx="37">
                    <c:v>0.14709158443135475</c:v>
                  </c:pt>
                  <c:pt idx="38">
                    <c:v>0.12169742461488126</c:v>
                  </c:pt>
                  <c:pt idx="39">
                    <c:v>0.13092263685896777</c:v>
                  </c:pt>
                </c:numCache>
              </c:numRef>
            </c:minus>
            <c:spPr>
              <a:ln w="3172">
                <a:solidFill>
                  <a:srgbClr val="000000"/>
                </a:solidFill>
                <a:prstDash val="solid"/>
              </a:ln>
            </c:spPr>
          </c:errBars>
          <c:cat>
            <c:numRef>
              <c:f>'сравн.  кон. и ру'!$C$3:$C$42</c:f>
              <c:numCache>
                <c:formatCode>General</c:formatCode>
                <c:ptCount val="40"/>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numCache>
            </c:numRef>
          </c:cat>
          <c:val>
            <c:numRef>
              <c:f>'сравн.  кон. и ру'!$E$3:$E$42</c:f>
              <c:numCache>
                <c:formatCode>0.00</c:formatCode>
                <c:ptCount val="40"/>
                <c:pt idx="0">
                  <c:v>4.62</c:v>
                </c:pt>
                <c:pt idx="1">
                  <c:v>4.87</c:v>
                </c:pt>
                <c:pt idx="2">
                  <c:v>5.7649999999999997</c:v>
                </c:pt>
                <c:pt idx="3">
                  <c:v>5.4725000000000001</c:v>
                </c:pt>
                <c:pt idx="4">
                  <c:v>4.6599999999999993</c:v>
                </c:pt>
                <c:pt idx="5">
                  <c:v>3.4671428571428571</c:v>
                </c:pt>
                <c:pt idx="6">
                  <c:v>4.3372727272727269</c:v>
                </c:pt>
                <c:pt idx="7">
                  <c:v>5.7393333333333336</c:v>
                </c:pt>
                <c:pt idx="8">
                  <c:v>5.0647058823529409</c:v>
                </c:pt>
                <c:pt idx="9">
                  <c:v>4.0550000000000006</c:v>
                </c:pt>
                <c:pt idx="10">
                  <c:v>3.690555555555556</c:v>
                </c:pt>
                <c:pt idx="11">
                  <c:v>3.1755555555555555</c:v>
                </c:pt>
                <c:pt idx="12">
                  <c:v>3.5294736842105263</c:v>
                </c:pt>
                <c:pt idx="13">
                  <c:v>3.8089999999999997</c:v>
                </c:pt>
                <c:pt idx="14">
                  <c:v>4.4639999999999986</c:v>
                </c:pt>
                <c:pt idx="15">
                  <c:v>3.5510000000000006</c:v>
                </c:pt>
                <c:pt idx="16">
                  <c:v>3.9469999999999992</c:v>
                </c:pt>
                <c:pt idx="17">
                  <c:v>2.073809523809524</c:v>
                </c:pt>
                <c:pt idx="18">
                  <c:v>1.7314285714285713</c:v>
                </c:pt>
                <c:pt idx="19">
                  <c:v>1.5138095238095237</c:v>
                </c:pt>
                <c:pt idx="20">
                  <c:v>1.4552380952380954</c:v>
                </c:pt>
                <c:pt idx="21">
                  <c:v>2.043333333333333</c:v>
                </c:pt>
                <c:pt idx="22">
                  <c:v>1.7090476190476191</c:v>
                </c:pt>
                <c:pt idx="23">
                  <c:v>1.8519047619047622</c:v>
                </c:pt>
                <c:pt idx="24">
                  <c:v>1.396190476190476</c:v>
                </c:pt>
                <c:pt idx="25">
                  <c:v>1.4342857142857139</c:v>
                </c:pt>
                <c:pt idx="26">
                  <c:v>1.1604761904761904</c:v>
                </c:pt>
                <c:pt idx="27">
                  <c:v>0.93238095238095264</c:v>
                </c:pt>
                <c:pt idx="28">
                  <c:v>1.1828571428571426</c:v>
                </c:pt>
                <c:pt idx="29">
                  <c:v>0.65666666666666673</c:v>
                </c:pt>
                <c:pt idx="30">
                  <c:v>0.99809523809523781</c:v>
                </c:pt>
                <c:pt idx="31">
                  <c:v>0.85904761904761917</c:v>
                </c:pt>
                <c:pt idx="32">
                  <c:v>0.87238095238095237</c:v>
                </c:pt>
                <c:pt idx="33">
                  <c:v>0.68428571428571439</c:v>
                </c:pt>
                <c:pt idx="34">
                  <c:v>1.1309523809523809</c:v>
                </c:pt>
                <c:pt idx="35">
                  <c:v>1.3061904761904761</c:v>
                </c:pt>
                <c:pt idx="36">
                  <c:v>1.5828571428571432</c:v>
                </c:pt>
                <c:pt idx="37">
                  <c:v>1.6915</c:v>
                </c:pt>
                <c:pt idx="38">
                  <c:v>1.6850000000000001</c:v>
                </c:pt>
                <c:pt idx="39">
                  <c:v>1.9740000000000006</c:v>
                </c:pt>
              </c:numCache>
            </c:numRef>
          </c:val>
          <c:smooth val="0"/>
        </c:ser>
        <c:dLbls>
          <c:showLegendKey val="0"/>
          <c:showVal val="0"/>
          <c:showCatName val="0"/>
          <c:showSerName val="0"/>
          <c:showPercent val="0"/>
          <c:showBubbleSize val="0"/>
        </c:dLbls>
        <c:marker val="1"/>
        <c:smooth val="0"/>
        <c:axId val="688429312"/>
        <c:axId val="688673152"/>
      </c:lineChart>
      <c:catAx>
        <c:axId val="688429312"/>
        <c:scaling>
          <c:orientation val="minMax"/>
        </c:scaling>
        <c:delete val="0"/>
        <c:axPos val="b"/>
        <c:title>
          <c:tx>
            <c:rich>
              <a:bodyPr/>
              <a:lstStyle/>
              <a:p>
                <a:pPr>
                  <a:defRPr sz="999"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91638342438465548"/>
              <c:y val="0.80243503345865563"/>
            </c:manualLayout>
          </c:layout>
          <c:overlay val="0"/>
        </c:title>
        <c:numFmt formatCode="General" sourceLinked="1"/>
        <c:majorTickMark val="out"/>
        <c:minorTickMark val="none"/>
        <c:tickLblPos val="nextTo"/>
        <c:txPr>
          <a:bodyPr rot="-5400000"/>
          <a:lstStyle/>
          <a:p>
            <a:pPr>
              <a:defRPr/>
            </a:pPr>
            <a:endParaRPr lang="ru-RU"/>
          </a:p>
        </c:txPr>
        <c:crossAx val="688673152"/>
        <c:crosses val="autoZero"/>
        <c:auto val="1"/>
        <c:lblAlgn val="ctr"/>
        <c:lblOffset val="100"/>
        <c:noMultiLvlLbl val="0"/>
      </c:catAx>
      <c:valAx>
        <c:axId val="688673152"/>
        <c:scaling>
          <c:orientation val="minMax"/>
          <c:max val="6"/>
          <c:min val="0"/>
        </c:scaling>
        <c:delete val="0"/>
        <c:axPos val="l"/>
        <c:majorGridlines>
          <c:spPr>
            <a:ln>
              <a:solidFill>
                <a:schemeClr val="bg1">
                  <a:lumMod val="85000"/>
                </a:schemeClr>
              </a:solidFill>
            </a:ln>
          </c:spPr>
        </c:majorGridlines>
        <c:title>
          <c:tx>
            <c:rich>
              <a:bodyPr/>
              <a:lstStyle/>
              <a:p>
                <a:pPr>
                  <a:defRPr sz="999" b="0" i="0" u="none" strike="noStrike" baseline="0">
                    <a:solidFill>
                      <a:srgbClr val="000000"/>
                    </a:solidFill>
                    <a:latin typeface="Times New Roman"/>
                    <a:ea typeface="Times New Roman"/>
                    <a:cs typeface="Times New Roman"/>
                  </a:defRPr>
                </a:pPr>
                <a:r>
                  <a:rPr lang="ru-RU"/>
                  <a:t>Радиальный прирост, мм</a:t>
                </a:r>
              </a:p>
            </c:rich>
          </c:tx>
          <c:overlay val="0"/>
        </c:title>
        <c:numFmt formatCode="\О\с\н\о\в\н\о\й" sourceLinked="0"/>
        <c:majorTickMark val="out"/>
        <c:minorTickMark val="none"/>
        <c:tickLblPos val="nextTo"/>
        <c:crossAx val="688429312"/>
        <c:crosses val="autoZero"/>
        <c:crossBetween val="between"/>
        <c:majorUnit val="1"/>
        <c:minorUnit val="0.2"/>
      </c:valAx>
    </c:plotArea>
    <c:legend>
      <c:legendPos val="r"/>
      <c:layout>
        <c:manualLayout>
          <c:xMode val="edge"/>
          <c:yMode val="edge"/>
          <c:x val="6.5217391304347824E-2"/>
          <c:y val="0.85240963855421692"/>
          <c:w val="0.87173913043478257"/>
          <c:h val="9.9397590361445784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5591572123177"/>
          <c:y val="2.9392925074649068E-2"/>
          <c:w val="0.86547811993517021"/>
          <c:h val="0.63697346820411505"/>
        </c:manualLayout>
      </c:layout>
      <c:areaChart>
        <c:grouping val="standard"/>
        <c:varyColors val="0"/>
        <c:ser>
          <c:idx val="0"/>
          <c:order val="0"/>
          <c:tx>
            <c:strRef>
              <c:f>rcs!$B$2</c:f>
              <c:strCache>
                <c:ptCount val="1"/>
                <c:pt idx="0">
                  <c:v>ПП-1 (умеренная интенсивность изреживания)</c:v>
                </c:pt>
              </c:strCache>
            </c:strRef>
          </c:tx>
          <c:spPr>
            <a:solidFill>
              <a:srgbClr val="808080"/>
            </a:solidFill>
            <a:ln w="25383">
              <a:solidFill>
                <a:srgbClr val="000000"/>
              </a:solidFill>
              <a:prstDash val="solid"/>
            </a:ln>
          </c:spPr>
          <c:cat>
            <c:numRef>
              <c:f>rcs!$A$3:$A$42</c:f>
              <c:numCache>
                <c:formatCode>General</c:formatCode>
                <c:ptCount val="40"/>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numCache>
            </c:numRef>
          </c:cat>
          <c:val>
            <c:numRef>
              <c:f>rcs!$B$3:$B$42</c:f>
              <c:numCache>
                <c:formatCode>General</c:formatCode>
                <c:ptCount val="40"/>
                <c:pt idx="0">
                  <c:v>4.3879999999999999</c:v>
                </c:pt>
                <c:pt idx="1">
                  <c:v>5.1920000000000002</c:v>
                </c:pt>
                <c:pt idx="2">
                  <c:v>4.8029999999999999</c:v>
                </c:pt>
                <c:pt idx="3">
                  <c:v>4.4550000000000001</c:v>
                </c:pt>
                <c:pt idx="4">
                  <c:v>4.1909999999999998</c:v>
                </c:pt>
                <c:pt idx="5">
                  <c:v>3.6749999999999998</c:v>
                </c:pt>
                <c:pt idx="6">
                  <c:v>3.8580000000000001</c:v>
                </c:pt>
                <c:pt idx="7">
                  <c:v>3.87</c:v>
                </c:pt>
                <c:pt idx="8">
                  <c:v>3.5950000000000002</c:v>
                </c:pt>
                <c:pt idx="9">
                  <c:v>3.3069999999999999</c:v>
                </c:pt>
                <c:pt idx="10">
                  <c:v>2.8530000000000002</c:v>
                </c:pt>
                <c:pt idx="11">
                  <c:v>2.4910000000000001</c:v>
                </c:pt>
                <c:pt idx="12">
                  <c:v>2.2210000000000001</c:v>
                </c:pt>
                <c:pt idx="13">
                  <c:v>1.89</c:v>
                </c:pt>
                <c:pt idx="14">
                  <c:v>1.81</c:v>
                </c:pt>
                <c:pt idx="15">
                  <c:v>1.58</c:v>
                </c:pt>
                <c:pt idx="16">
                  <c:v>1.54</c:v>
                </c:pt>
                <c:pt idx="17">
                  <c:v>1.319</c:v>
                </c:pt>
                <c:pt idx="18">
                  <c:v>1.163</c:v>
                </c:pt>
                <c:pt idx="19">
                  <c:v>1.153</c:v>
                </c:pt>
                <c:pt idx="20">
                  <c:v>1.0429999999999999</c:v>
                </c:pt>
                <c:pt idx="21">
                  <c:v>1.075</c:v>
                </c:pt>
                <c:pt idx="22">
                  <c:v>1.0549999999999999</c:v>
                </c:pt>
                <c:pt idx="23">
                  <c:v>1.0589999999999999</c:v>
                </c:pt>
                <c:pt idx="24">
                  <c:v>0.97899999999999998</c:v>
                </c:pt>
                <c:pt idx="25">
                  <c:v>0.91500000000000004</c:v>
                </c:pt>
                <c:pt idx="26">
                  <c:v>0.879</c:v>
                </c:pt>
                <c:pt idx="27">
                  <c:v>0.93300000000000005</c:v>
                </c:pt>
                <c:pt idx="28">
                  <c:v>1.028</c:v>
                </c:pt>
                <c:pt idx="29">
                  <c:v>1.1870000000000001</c:v>
                </c:pt>
                <c:pt idx="30">
                  <c:v>1.262</c:v>
                </c:pt>
                <c:pt idx="31">
                  <c:v>1.498</c:v>
                </c:pt>
                <c:pt idx="32">
                  <c:v>1.5489999999999999</c:v>
                </c:pt>
                <c:pt idx="33">
                  <c:v>1.47</c:v>
                </c:pt>
                <c:pt idx="34">
                  <c:v>1.3440000000000001</c:v>
                </c:pt>
                <c:pt idx="35">
                  <c:v>1.546</c:v>
                </c:pt>
                <c:pt idx="36">
                  <c:v>1.72</c:v>
                </c:pt>
                <c:pt idx="37">
                  <c:v>1.71</c:v>
                </c:pt>
                <c:pt idx="38">
                  <c:v>1.99</c:v>
                </c:pt>
                <c:pt idx="39">
                  <c:v>2.2250000000000001</c:v>
                </c:pt>
              </c:numCache>
            </c:numRef>
          </c:val>
        </c:ser>
        <c:ser>
          <c:idx val="1"/>
          <c:order val="1"/>
          <c:tx>
            <c:strRef>
              <c:f>rcs!$C$2</c:f>
              <c:strCache>
                <c:ptCount val="1"/>
                <c:pt idx="0">
                  <c:v>ПП-2 (контроль)</c:v>
                </c:pt>
              </c:strCache>
            </c:strRef>
          </c:tx>
          <c:spPr>
            <a:solidFill>
              <a:srgbClr val="FFFFFF"/>
            </a:solidFill>
            <a:ln w="25383">
              <a:solidFill>
                <a:srgbClr val="969696"/>
              </a:solidFill>
              <a:prstDash val="solid"/>
            </a:ln>
          </c:spPr>
          <c:cat>
            <c:numRef>
              <c:f>rcs!$A$3:$A$42</c:f>
              <c:numCache>
                <c:formatCode>General</c:formatCode>
                <c:ptCount val="40"/>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numCache>
            </c:numRef>
          </c:cat>
          <c:val>
            <c:numRef>
              <c:f>rcs!$C$3:$C$42</c:f>
              <c:numCache>
                <c:formatCode>General</c:formatCode>
                <c:ptCount val="40"/>
                <c:pt idx="0">
                  <c:v>3.9580000000000002</c:v>
                </c:pt>
                <c:pt idx="1">
                  <c:v>4.5780000000000003</c:v>
                </c:pt>
                <c:pt idx="2">
                  <c:v>4.7279999999999998</c:v>
                </c:pt>
                <c:pt idx="3">
                  <c:v>3.9</c:v>
                </c:pt>
                <c:pt idx="4">
                  <c:v>3.8</c:v>
                </c:pt>
                <c:pt idx="5">
                  <c:v>3.7480000000000002</c:v>
                </c:pt>
                <c:pt idx="6">
                  <c:v>3.5739999999999998</c:v>
                </c:pt>
                <c:pt idx="7">
                  <c:v>3.5750000000000002</c:v>
                </c:pt>
                <c:pt idx="8">
                  <c:v>3.36</c:v>
                </c:pt>
                <c:pt idx="9">
                  <c:v>3.1970000000000001</c:v>
                </c:pt>
                <c:pt idx="10">
                  <c:v>2.5409999999999999</c:v>
                </c:pt>
                <c:pt idx="11">
                  <c:v>2.2589999999999999</c:v>
                </c:pt>
                <c:pt idx="12">
                  <c:v>1.893</c:v>
                </c:pt>
                <c:pt idx="13">
                  <c:v>1.633</c:v>
                </c:pt>
                <c:pt idx="14">
                  <c:v>1.7589999999999999</c:v>
                </c:pt>
                <c:pt idx="15">
                  <c:v>1.774</c:v>
                </c:pt>
                <c:pt idx="16">
                  <c:v>1.5</c:v>
                </c:pt>
                <c:pt idx="17">
                  <c:v>1.321</c:v>
                </c:pt>
                <c:pt idx="18">
                  <c:v>1.177</c:v>
                </c:pt>
                <c:pt idx="19">
                  <c:v>1.0049999999999999</c:v>
                </c:pt>
                <c:pt idx="20">
                  <c:v>0.98799999999999999</c:v>
                </c:pt>
                <c:pt idx="21">
                  <c:v>0.81899999999999995</c:v>
                </c:pt>
                <c:pt idx="22">
                  <c:v>0.90400000000000003</c:v>
                </c:pt>
                <c:pt idx="23">
                  <c:v>0.79300000000000004</c:v>
                </c:pt>
                <c:pt idx="24">
                  <c:v>0.73699999999999999</c:v>
                </c:pt>
                <c:pt idx="25">
                  <c:v>0.69899999999999995</c:v>
                </c:pt>
                <c:pt idx="26">
                  <c:v>0.61099999999999999</c:v>
                </c:pt>
                <c:pt idx="27">
                  <c:v>0.51100000000000001</c:v>
                </c:pt>
                <c:pt idx="28">
                  <c:v>0.49299999999999999</c:v>
                </c:pt>
                <c:pt idx="29">
                  <c:v>0.48199999999999998</c:v>
                </c:pt>
                <c:pt idx="30">
                  <c:v>0.56399999999999995</c:v>
                </c:pt>
                <c:pt idx="31">
                  <c:v>0.64300000000000002</c:v>
                </c:pt>
                <c:pt idx="32">
                  <c:v>0.52100000000000002</c:v>
                </c:pt>
                <c:pt idx="33">
                  <c:v>0.62</c:v>
                </c:pt>
                <c:pt idx="34">
                  <c:v>0.60099999999999998</c:v>
                </c:pt>
                <c:pt idx="35">
                  <c:v>0.49</c:v>
                </c:pt>
                <c:pt idx="36">
                  <c:v>0.55000000000000004</c:v>
                </c:pt>
                <c:pt idx="37">
                  <c:v>0.62</c:v>
                </c:pt>
                <c:pt idx="38">
                  <c:v>0.91</c:v>
                </c:pt>
                <c:pt idx="39">
                  <c:v>0.93500000000000005</c:v>
                </c:pt>
              </c:numCache>
            </c:numRef>
          </c:val>
        </c:ser>
        <c:dLbls>
          <c:showLegendKey val="0"/>
          <c:showVal val="0"/>
          <c:showCatName val="0"/>
          <c:showSerName val="0"/>
          <c:showPercent val="0"/>
          <c:showBubbleSize val="0"/>
        </c:dLbls>
        <c:axId val="688433408"/>
        <c:axId val="688783744"/>
      </c:areaChart>
      <c:catAx>
        <c:axId val="688433408"/>
        <c:scaling>
          <c:orientation val="minMax"/>
        </c:scaling>
        <c:delete val="0"/>
        <c:axPos val="b"/>
        <c:title>
          <c:tx>
            <c:rich>
              <a:bodyPr/>
              <a:lstStyle/>
              <a:p>
                <a:pPr>
                  <a:defRPr sz="974"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93269580182213629"/>
              <c:y val="0.82513477119707856"/>
            </c:manualLayout>
          </c:layout>
          <c:overlay val="0"/>
        </c:title>
        <c:numFmt formatCode="General" sourceLinked="1"/>
        <c:majorTickMark val="out"/>
        <c:minorTickMark val="none"/>
        <c:tickLblPos val="nextTo"/>
        <c:spPr>
          <a:ln w="3173">
            <a:solidFill>
              <a:srgbClr val="000000"/>
            </a:solidFill>
            <a:prstDash val="solid"/>
          </a:ln>
        </c:spPr>
        <c:txPr>
          <a:bodyPr rot="-5400000" vert="horz"/>
          <a:lstStyle/>
          <a:p>
            <a:pPr>
              <a:defRPr/>
            </a:pPr>
            <a:endParaRPr lang="ru-RU"/>
          </a:p>
        </c:txPr>
        <c:crossAx val="688783744"/>
        <c:crosses val="autoZero"/>
        <c:auto val="1"/>
        <c:lblAlgn val="ctr"/>
        <c:lblOffset val="100"/>
        <c:tickLblSkip val="2"/>
        <c:tickMarkSkip val="2"/>
        <c:noMultiLvlLbl val="0"/>
      </c:catAx>
      <c:valAx>
        <c:axId val="688783744"/>
        <c:scaling>
          <c:orientation val="minMax"/>
          <c:max val="5.2"/>
          <c:min val="0"/>
        </c:scaling>
        <c:delete val="0"/>
        <c:axPos val="l"/>
        <c:title>
          <c:tx>
            <c:rich>
              <a:bodyPr/>
              <a:lstStyle/>
              <a:p>
                <a:pPr>
                  <a:defRPr sz="974" b="0" i="0" u="none" strike="noStrike" baseline="0">
                    <a:solidFill>
                      <a:srgbClr val="000000"/>
                    </a:solidFill>
                    <a:latin typeface="Times New Roman"/>
                    <a:ea typeface="Times New Roman"/>
                    <a:cs typeface="Times New Roman"/>
                  </a:defRPr>
                </a:pPr>
                <a:r>
                  <a:rPr lang="ru-RU"/>
                  <a:t>индексы,  региональная кривая</a:t>
                </a:r>
              </a:p>
            </c:rich>
          </c:tx>
          <c:layout>
            <c:manualLayout>
              <c:xMode val="edge"/>
              <c:yMode val="edge"/>
              <c:x val="2.5931931490441786E-2"/>
              <c:y val="0.10526303777245236"/>
            </c:manualLayout>
          </c:layout>
          <c:overlay val="0"/>
          <c:spPr>
            <a:noFill/>
            <a:ln w="25383">
              <a:noFill/>
            </a:ln>
          </c:spPr>
        </c:title>
        <c:numFmt formatCode="\О\с\н\о\в\н\о\й" sourceLinked="0"/>
        <c:majorTickMark val="out"/>
        <c:minorTickMark val="none"/>
        <c:tickLblPos val="nextTo"/>
        <c:spPr>
          <a:ln w="3173">
            <a:solidFill>
              <a:srgbClr val="000000"/>
            </a:solidFill>
            <a:prstDash val="solid"/>
          </a:ln>
        </c:spPr>
        <c:txPr>
          <a:bodyPr rot="0" vert="horz"/>
          <a:lstStyle/>
          <a:p>
            <a:pPr>
              <a:defRPr/>
            </a:pPr>
            <a:endParaRPr lang="ru-RU"/>
          </a:p>
        </c:txPr>
        <c:crossAx val="688433408"/>
        <c:crosses val="autoZero"/>
        <c:crossBetween val="midCat"/>
        <c:majorUnit val="1"/>
        <c:minorUnit val="0.2"/>
      </c:valAx>
      <c:spPr>
        <a:noFill/>
        <a:ln w="12691">
          <a:solidFill>
            <a:schemeClr val="bg1">
              <a:lumMod val="85000"/>
            </a:schemeClr>
          </a:solidFill>
          <a:prstDash val="solid"/>
        </a:ln>
      </c:spPr>
    </c:plotArea>
    <c:legend>
      <c:legendPos val="r"/>
      <c:layout>
        <c:manualLayout>
          <c:xMode val="edge"/>
          <c:yMode val="edge"/>
          <c:x val="2.5302530253025302E-2"/>
          <c:y val="0.8808139534883721"/>
          <c:w val="0.73707370737073707"/>
          <c:h val="8.4302325581395346E-2"/>
        </c:manualLayout>
      </c:layout>
      <c:overlay val="0"/>
      <c:spPr>
        <a:solidFill>
          <a:srgbClr val="FFFFFF"/>
        </a:solidFill>
        <a:ln w="3173">
          <a:noFill/>
          <a:prstDash val="solid"/>
        </a:ln>
      </c:spPr>
    </c:legend>
    <c:plotVisOnly val="1"/>
    <c:dispBlanksAs val="zero"/>
    <c:showDLblsOverMax val="0"/>
  </c:chart>
  <c:spPr>
    <a:solidFill>
      <a:srgbClr val="FFFFFF"/>
    </a:solidFill>
    <a:ln>
      <a:noFill/>
    </a:ln>
  </c:spPr>
  <c:txPr>
    <a:bodyPr/>
    <a:lstStyle/>
    <a:p>
      <a:pPr>
        <a:defRPr sz="974"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'К-5'!$I$501</c:f>
              <c:strCache>
                <c:ptCount val="1"/>
                <c:pt idx="0">
                  <c:v>контроль</c:v>
                </c:pt>
              </c:strCache>
            </c:strRef>
          </c:tx>
          <c:invertIfNegative val="0"/>
          <c:cat>
            <c:numRef>
              <c:f>'К-5'!$H$502:$H$595</c:f>
              <c:numCache>
                <c:formatCode>General</c:formatCode>
                <c:ptCount val="94"/>
                <c:pt idx="0">
                  <c:v>1925</c:v>
                </c:pt>
                <c:pt idx="1">
                  <c:v>1926</c:v>
                </c:pt>
                <c:pt idx="2">
                  <c:v>1927</c:v>
                </c:pt>
                <c:pt idx="3">
                  <c:v>1928</c:v>
                </c:pt>
                <c:pt idx="4">
                  <c:v>1929</c:v>
                </c:pt>
                <c:pt idx="5">
                  <c:v>1930</c:v>
                </c:pt>
                <c:pt idx="6">
                  <c:v>1931</c:v>
                </c:pt>
                <c:pt idx="7">
                  <c:v>1932</c:v>
                </c:pt>
                <c:pt idx="8">
                  <c:v>1933</c:v>
                </c:pt>
                <c:pt idx="9">
                  <c:v>1934</c:v>
                </c:pt>
                <c:pt idx="10">
                  <c:v>1935</c:v>
                </c:pt>
                <c:pt idx="11">
                  <c:v>1936</c:v>
                </c:pt>
                <c:pt idx="12">
                  <c:v>1937</c:v>
                </c:pt>
                <c:pt idx="13">
                  <c:v>1938</c:v>
                </c:pt>
                <c:pt idx="14">
                  <c:v>1939</c:v>
                </c:pt>
                <c:pt idx="15">
                  <c:v>1940</c:v>
                </c:pt>
                <c:pt idx="16">
                  <c:v>1941</c:v>
                </c:pt>
                <c:pt idx="17">
                  <c:v>1942</c:v>
                </c:pt>
                <c:pt idx="18">
                  <c:v>1943</c:v>
                </c:pt>
                <c:pt idx="19">
                  <c:v>1944</c:v>
                </c:pt>
                <c:pt idx="20">
                  <c:v>1945</c:v>
                </c:pt>
                <c:pt idx="21">
                  <c:v>1946</c:v>
                </c:pt>
                <c:pt idx="22">
                  <c:v>1947</c:v>
                </c:pt>
                <c:pt idx="23">
                  <c:v>1948</c:v>
                </c:pt>
                <c:pt idx="24">
                  <c:v>1949</c:v>
                </c:pt>
                <c:pt idx="25">
                  <c:v>1950</c:v>
                </c:pt>
                <c:pt idx="26">
                  <c:v>1951</c:v>
                </c:pt>
                <c:pt idx="27">
                  <c:v>1952</c:v>
                </c:pt>
                <c:pt idx="28">
                  <c:v>1953</c:v>
                </c:pt>
                <c:pt idx="29">
                  <c:v>1954</c:v>
                </c:pt>
                <c:pt idx="30">
                  <c:v>1955</c:v>
                </c:pt>
                <c:pt idx="31">
                  <c:v>1956</c:v>
                </c:pt>
                <c:pt idx="32">
                  <c:v>1957</c:v>
                </c:pt>
                <c:pt idx="33">
                  <c:v>1958</c:v>
                </c:pt>
                <c:pt idx="34">
                  <c:v>1959</c:v>
                </c:pt>
                <c:pt idx="35">
                  <c:v>1960</c:v>
                </c:pt>
                <c:pt idx="36">
                  <c:v>1961</c:v>
                </c:pt>
                <c:pt idx="37">
                  <c:v>1962</c:v>
                </c:pt>
                <c:pt idx="38">
                  <c:v>1963</c:v>
                </c:pt>
                <c:pt idx="39">
                  <c:v>1964</c:v>
                </c:pt>
                <c:pt idx="40">
                  <c:v>1965</c:v>
                </c:pt>
                <c:pt idx="41">
                  <c:v>1966</c:v>
                </c:pt>
                <c:pt idx="42">
                  <c:v>1967</c:v>
                </c:pt>
                <c:pt idx="43">
                  <c:v>1968</c:v>
                </c:pt>
                <c:pt idx="44">
                  <c:v>1969</c:v>
                </c:pt>
                <c:pt idx="45">
                  <c:v>1970</c:v>
                </c:pt>
                <c:pt idx="46">
                  <c:v>1971</c:v>
                </c:pt>
                <c:pt idx="47">
                  <c:v>1972</c:v>
                </c:pt>
                <c:pt idx="48">
                  <c:v>1973</c:v>
                </c:pt>
                <c:pt idx="49">
                  <c:v>1974</c:v>
                </c:pt>
                <c:pt idx="50">
                  <c:v>1975</c:v>
                </c:pt>
                <c:pt idx="51">
                  <c:v>1976</c:v>
                </c:pt>
                <c:pt idx="52">
                  <c:v>1977</c:v>
                </c:pt>
                <c:pt idx="53">
                  <c:v>1978</c:v>
                </c:pt>
                <c:pt idx="54">
                  <c:v>1979</c:v>
                </c:pt>
                <c:pt idx="55">
                  <c:v>1980</c:v>
                </c:pt>
                <c:pt idx="56">
                  <c:v>1981</c:v>
                </c:pt>
                <c:pt idx="57">
                  <c:v>1982</c:v>
                </c:pt>
                <c:pt idx="58">
                  <c:v>1983</c:v>
                </c:pt>
                <c:pt idx="59">
                  <c:v>1984</c:v>
                </c:pt>
                <c:pt idx="60">
                  <c:v>1985</c:v>
                </c:pt>
                <c:pt idx="61">
                  <c:v>1986</c:v>
                </c:pt>
                <c:pt idx="62">
                  <c:v>1987</c:v>
                </c:pt>
                <c:pt idx="63">
                  <c:v>1988</c:v>
                </c:pt>
                <c:pt idx="64">
                  <c:v>1989</c:v>
                </c:pt>
                <c:pt idx="65">
                  <c:v>1990</c:v>
                </c:pt>
                <c:pt idx="66">
                  <c:v>1991</c:v>
                </c:pt>
                <c:pt idx="67">
                  <c:v>1992</c:v>
                </c:pt>
                <c:pt idx="68">
                  <c:v>1993</c:v>
                </c:pt>
                <c:pt idx="69">
                  <c:v>1994</c:v>
                </c:pt>
                <c:pt idx="70">
                  <c:v>1995</c:v>
                </c:pt>
                <c:pt idx="71">
                  <c:v>1996</c:v>
                </c:pt>
                <c:pt idx="72">
                  <c:v>1997</c:v>
                </c:pt>
                <c:pt idx="73">
                  <c:v>1998</c:v>
                </c:pt>
                <c:pt idx="74">
                  <c:v>1999</c:v>
                </c:pt>
                <c:pt idx="75">
                  <c:v>2000</c:v>
                </c:pt>
                <c:pt idx="76">
                  <c:v>2001</c:v>
                </c:pt>
                <c:pt idx="77">
                  <c:v>2002</c:v>
                </c:pt>
                <c:pt idx="78">
                  <c:v>2003</c:v>
                </c:pt>
                <c:pt idx="79">
                  <c:v>2004</c:v>
                </c:pt>
                <c:pt idx="80">
                  <c:v>2005</c:v>
                </c:pt>
                <c:pt idx="81">
                  <c:v>2006</c:v>
                </c:pt>
                <c:pt idx="82">
                  <c:v>2007</c:v>
                </c:pt>
                <c:pt idx="83">
                  <c:v>2008</c:v>
                </c:pt>
                <c:pt idx="84">
                  <c:v>2009</c:v>
                </c:pt>
                <c:pt idx="85">
                  <c:v>2010</c:v>
                </c:pt>
                <c:pt idx="86">
                  <c:v>2011</c:v>
                </c:pt>
                <c:pt idx="87">
                  <c:v>2012</c:v>
                </c:pt>
                <c:pt idx="88">
                  <c:v>2013</c:v>
                </c:pt>
                <c:pt idx="89">
                  <c:v>2014</c:v>
                </c:pt>
                <c:pt idx="90">
                  <c:v>2015</c:v>
                </c:pt>
                <c:pt idx="91">
                  <c:v>2016</c:v>
                </c:pt>
                <c:pt idx="92">
                  <c:v>2017</c:v>
                </c:pt>
                <c:pt idx="93">
                  <c:v>2018</c:v>
                </c:pt>
              </c:numCache>
            </c:numRef>
          </c:cat>
          <c:val>
            <c:numRef>
              <c:f>'К-5'!$I$502:$I$595</c:f>
              <c:numCache>
                <c:formatCode>General</c:formatCode>
                <c:ptCount val="94"/>
                <c:pt idx="0">
                  <c:v>2.52</c:v>
                </c:pt>
                <c:pt idx="1">
                  <c:v>2.6425000000000001</c:v>
                </c:pt>
                <c:pt idx="2">
                  <c:v>2.0655000000000001</c:v>
                </c:pt>
                <c:pt idx="3">
                  <c:v>2.4942857142857147</c:v>
                </c:pt>
                <c:pt idx="4">
                  <c:v>1.3716666666666666</c:v>
                </c:pt>
                <c:pt idx="5">
                  <c:v>1.6616666666666666</c:v>
                </c:pt>
                <c:pt idx="6">
                  <c:v>0.64888888888888885</c:v>
                </c:pt>
                <c:pt idx="7">
                  <c:v>1.0005555555555556</c:v>
                </c:pt>
                <c:pt idx="8">
                  <c:v>0.90733333333333333</c:v>
                </c:pt>
                <c:pt idx="9">
                  <c:v>1.0219999999999998</c:v>
                </c:pt>
                <c:pt idx="10">
                  <c:v>0.82050000000000001</c:v>
                </c:pt>
                <c:pt idx="11">
                  <c:v>0.98649999999999993</c:v>
                </c:pt>
                <c:pt idx="12">
                  <c:v>0.79549999999999998</c:v>
                </c:pt>
                <c:pt idx="13">
                  <c:v>0.872</c:v>
                </c:pt>
                <c:pt idx="14">
                  <c:v>0.77049999999999996</c:v>
                </c:pt>
                <c:pt idx="15">
                  <c:v>0.85650000000000004</c:v>
                </c:pt>
                <c:pt idx="16">
                  <c:v>0.95950000000000002</c:v>
                </c:pt>
                <c:pt idx="17">
                  <c:v>0.99299999999999999</c:v>
                </c:pt>
                <c:pt idx="18">
                  <c:v>1.0379999999999998</c:v>
                </c:pt>
                <c:pt idx="19">
                  <c:v>1.232</c:v>
                </c:pt>
                <c:pt idx="20">
                  <c:v>1.0764999999999998</c:v>
                </c:pt>
                <c:pt idx="21">
                  <c:v>1.2015</c:v>
                </c:pt>
                <c:pt idx="22">
                  <c:v>1.1315000000000002</c:v>
                </c:pt>
                <c:pt idx="23">
                  <c:v>0.91049999999999998</c:v>
                </c:pt>
                <c:pt idx="24">
                  <c:v>0.90800000000000003</c:v>
                </c:pt>
                <c:pt idx="25">
                  <c:v>0.82950000000000002</c:v>
                </c:pt>
                <c:pt idx="26">
                  <c:v>0.59050000000000002</c:v>
                </c:pt>
                <c:pt idx="27">
                  <c:v>0.50149999999999995</c:v>
                </c:pt>
                <c:pt idx="28">
                  <c:v>0.44800000000000001</c:v>
                </c:pt>
                <c:pt idx="29">
                  <c:v>0.47350000000000003</c:v>
                </c:pt>
                <c:pt idx="30">
                  <c:v>0.53200000000000003</c:v>
                </c:pt>
                <c:pt idx="31">
                  <c:v>0.65900000000000003</c:v>
                </c:pt>
                <c:pt idx="32">
                  <c:v>0.50350000000000006</c:v>
                </c:pt>
                <c:pt idx="33">
                  <c:v>0.60299999999999998</c:v>
                </c:pt>
                <c:pt idx="34">
                  <c:v>0.58200000000000007</c:v>
                </c:pt>
                <c:pt idx="35">
                  <c:v>0.74449999999999994</c:v>
                </c:pt>
                <c:pt idx="36">
                  <c:v>0.93699999999999994</c:v>
                </c:pt>
                <c:pt idx="37">
                  <c:v>0.75750000000000006</c:v>
                </c:pt>
                <c:pt idx="38">
                  <c:v>0.59549999999999992</c:v>
                </c:pt>
                <c:pt idx="39">
                  <c:v>0.52750000000000008</c:v>
                </c:pt>
                <c:pt idx="40">
                  <c:v>0.49199999999999994</c:v>
                </c:pt>
                <c:pt idx="41">
                  <c:v>0.54400000000000004</c:v>
                </c:pt>
                <c:pt idx="42">
                  <c:v>0.28400000000000003</c:v>
                </c:pt>
                <c:pt idx="43">
                  <c:v>0.36549999999999999</c:v>
                </c:pt>
                <c:pt idx="44">
                  <c:v>0.46500000000000002</c:v>
                </c:pt>
                <c:pt idx="45">
                  <c:v>0.4995</c:v>
                </c:pt>
                <c:pt idx="46">
                  <c:v>0.64849999999999985</c:v>
                </c:pt>
                <c:pt idx="47">
                  <c:v>0.55549999999999988</c:v>
                </c:pt>
                <c:pt idx="48">
                  <c:v>0.67400000000000004</c:v>
                </c:pt>
                <c:pt idx="49">
                  <c:v>0.64999999999999991</c:v>
                </c:pt>
                <c:pt idx="50">
                  <c:v>0.65300000000000002</c:v>
                </c:pt>
                <c:pt idx="51">
                  <c:v>0.70649999999999991</c:v>
                </c:pt>
                <c:pt idx="52">
                  <c:v>0.47050000000000003</c:v>
                </c:pt>
                <c:pt idx="53">
                  <c:v>0.64450000000000007</c:v>
                </c:pt>
                <c:pt idx="54">
                  <c:v>0.72699999999999998</c:v>
                </c:pt>
                <c:pt idx="55">
                  <c:v>0.66349999999999998</c:v>
                </c:pt>
                <c:pt idx="56">
                  <c:v>0.74299999999999999</c:v>
                </c:pt>
                <c:pt idx="57">
                  <c:v>0.621</c:v>
                </c:pt>
                <c:pt idx="58">
                  <c:v>0.57350000000000001</c:v>
                </c:pt>
                <c:pt idx="59">
                  <c:v>0.48599999999999993</c:v>
                </c:pt>
                <c:pt idx="60">
                  <c:v>0.48799999999999999</c:v>
                </c:pt>
                <c:pt idx="61">
                  <c:v>0.61399999999999999</c:v>
                </c:pt>
                <c:pt idx="62">
                  <c:v>0.36899999999999999</c:v>
                </c:pt>
                <c:pt idx="63">
                  <c:v>0.52400000000000002</c:v>
                </c:pt>
                <c:pt idx="64">
                  <c:v>0.48799999999999999</c:v>
                </c:pt>
                <c:pt idx="65">
                  <c:v>0.53750000000000009</c:v>
                </c:pt>
                <c:pt idx="66">
                  <c:v>0.375</c:v>
                </c:pt>
                <c:pt idx="67">
                  <c:v>0.55649999999999999</c:v>
                </c:pt>
                <c:pt idx="68">
                  <c:v>0.54</c:v>
                </c:pt>
                <c:pt idx="69">
                  <c:v>0.58150000000000002</c:v>
                </c:pt>
                <c:pt idx="70">
                  <c:v>0.7619999999999999</c:v>
                </c:pt>
                <c:pt idx="71">
                  <c:v>0.53200000000000003</c:v>
                </c:pt>
                <c:pt idx="72">
                  <c:v>0.50849999999999995</c:v>
                </c:pt>
                <c:pt idx="73">
                  <c:v>0.47149999999999992</c:v>
                </c:pt>
                <c:pt idx="74">
                  <c:v>0.53749999999999998</c:v>
                </c:pt>
                <c:pt idx="75">
                  <c:v>0.497</c:v>
                </c:pt>
                <c:pt idx="76">
                  <c:v>0.35650000000000004</c:v>
                </c:pt>
                <c:pt idx="77">
                  <c:v>0.32950000000000002</c:v>
                </c:pt>
                <c:pt idx="78">
                  <c:v>0.42100000000000004</c:v>
                </c:pt>
                <c:pt idx="79">
                  <c:v>0.26849999999999996</c:v>
                </c:pt>
                <c:pt idx="80">
                  <c:v>0.50849999999999995</c:v>
                </c:pt>
                <c:pt idx="81">
                  <c:v>0.51249999999999996</c:v>
                </c:pt>
                <c:pt idx="82">
                  <c:v>0.70850000000000002</c:v>
                </c:pt>
                <c:pt idx="83">
                  <c:v>0.56999999999999995</c:v>
                </c:pt>
                <c:pt idx="84">
                  <c:v>0.57850000000000001</c:v>
                </c:pt>
                <c:pt idx="85">
                  <c:v>0.52750000000000008</c:v>
                </c:pt>
                <c:pt idx="86">
                  <c:v>0.58800000000000008</c:v>
                </c:pt>
                <c:pt idx="87">
                  <c:v>0.33250000000000002</c:v>
                </c:pt>
                <c:pt idx="88">
                  <c:v>0.44750000000000001</c:v>
                </c:pt>
                <c:pt idx="89">
                  <c:v>0.35449999999999993</c:v>
                </c:pt>
                <c:pt idx="90">
                  <c:v>0.317</c:v>
                </c:pt>
                <c:pt idx="91">
                  <c:v>0.39150000000000007</c:v>
                </c:pt>
                <c:pt idx="92">
                  <c:v>0.37400000000000005</c:v>
                </c:pt>
                <c:pt idx="93">
                  <c:v>0.51600000000000001</c:v>
                </c:pt>
              </c:numCache>
            </c:numRef>
          </c:val>
          <c:extLst xmlns:c16r2="http://schemas.microsoft.com/office/drawing/2015/06/chart">
            <c:ext xmlns:c16="http://schemas.microsoft.com/office/drawing/2014/chart" uri="{C3380CC4-5D6E-409C-BE32-E72D297353CC}">
              <c16:uniqueId val="{00000000-44CB-4D68-9108-FE13E8C1043F}"/>
            </c:ext>
          </c:extLst>
        </c:ser>
        <c:dLbls>
          <c:showLegendKey val="0"/>
          <c:showVal val="0"/>
          <c:showCatName val="0"/>
          <c:showSerName val="0"/>
          <c:showPercent val="0"/>
          <c:showBubbleSize val="0"/>
        </c:dLbls>
        <c:gapWidth val="150"/>
        <c:axId val="198236416"/>
        <c:axId val="198242304"/>
      </c:barChart>
      <c:catAx>
        <c:axId val="198236416"/>
        <c:scaling>
          <c:orientation val="minMax"/>
        </c:scaling>
        <c:delete val="0"/>
        <c:axPos val="b"/>
        <c:numFmt formatCode="General" sourceLinked="1"/>
        <c:majorTickMark val="out"/>
        <c:minorTickMark val="none"/>
        <c:tickLblPos val="nextTo"/>
        <c:crossAx val="198242304"/>
        <c:crosses val="autoZero"/>
        <c:auto val="1"/>
        <c:lblAlgn val="ctr"/>
        <c:lblOffset val="100"/>
        <c:noMultiLvlLbl val="0"/>
      </c:catAx>
      <c:valAx>
        <c:axId val="198242304"/>
        <c:scaling>
          <c:orientation val="minMax"/>
        </c:scaling>
        <c:delete val="0"/>
        <c:axPos val="l"/>
        <c:majorGridlines/>
        <c:numFmt formatCode="General" sourceLinked="1"/>
        <c:majorTickMark val="out"/>
        <c:minorTickMark val="none"/>
        <c:tickLblPos val="nextTo"/>
        <c:crossAx val="198236416"/>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'бурабай ест'!$B$98</c:f>
              <c:strCache>
                <c:ptCount val="1"/>
                <c:pt idx="0">
                  <c:v>индексы радиального прироста</c:v>
                </c:pt>
              </c:strCache>
            </c:strRef>
          </c:tx>
          <c:spPr>
            <a:ln w="28575" cap="rnd">
              <a:solidFill>
                <a:srgbClr val="00B050"/>
              </a:solidFill>
              <a:round/>
            </a:ln>
            <a:effectLst/>
          </c:spPr>
          <c:marker>
            <c:symbol val="none"/>
          </c:marker>
          <c:cat>
            <c:numRef>
              <c:f>'бурабай ест'!$A$99:$A$192</c:f>
              <c:numCache>
                <c:formatCode>General</c:formatCode>
                <c:ptCount val="94"/>
                <c:pt idx="0">
                  <c:v>1925</c:v>
                </c:pt>
                <c:pt idx="1">
                  <c:v>1926</c:v>
                </c:pt>
                <c:pt idx="2">
                  <c:v>1927</c:v>
                </c:pt>
                <c:pt idx="3">
                  <c:v>1928</c:v>
                </c:pt>
                <c:pt idx="4">
                  <c:v>1929</c:v>
                </c:pt>
                <c:pt idx="5">
                  <c:v>1930</c:v>
                </c:pt>
                <c:pt idx="6">
                  <c:v>1931</c:v>
                </c:pt>
                <c:pt idx="7">
                  <c:v>1932</c:v>
                </c:pt>
                <c:pt idx="8">
                  <c:v>1933</c:v>
                </c:pt>
                <c:pt idx="9">
                  <c:v>1934</c:v>
                </c:pt>
                <c:pt idx="10">
                  <c:v>1935</c:v>
                </c:pt>
                <c:pt idx="11">
                  <c:v>1936</c:v>
                </c:pt>
                <c:pt idx="12">
                  <c:v>1937</c:v>
                </c:pt>
                <c:pt idx="13">
                  <c:v>1938</c:v>
                </c:pt>
                <c:pt idx="14">
                  <c:v>1939</c:v>
                </c:pt>
                <c:pt idx="15">
                  <c:v>1940</c:v>
                </c:pt>
                <c:pt idx="16">
                  <c:v>1941</c:v>
                </c:pt>
                <c:pt idx="17">
                  <c:v>1942</c:v>
                </c:pt>
                <c:pt idx="18">
                  <c:v>1943</c:v>
                </c:pt>
                <c:pt idx="19">
                  <c:v>1944</c:v>
                </c:pt>
                <c:pt idx="20">
                  <c:v>1945</c:v>
                </c:pt>
                <c:pt idx="21">
                  <c:v>1946</c:v>
                </c:pt>
                <c:pt idx="22">
                  <c:v>1947</c:v>
                </c:pt>
                <c:pt idx="23">
                  <c:v>1948</c:v>
                </c:pt>
                <c:pt idx="24">
                  <c:v>1949</c:v>
                </c:pt>
                <c:pt idx="25">
                  <c:v>1950</c:v>
                </c:pt>
                <c:pt idx="26">
                  <c:v>1951</c:v>
                </c:pt>
                <c:pt idx="27">
                  <c:v>1952</c:v>
                </c:pt>
                <c:pt idx="28">
                  <c:v>1953</c:v>
                </c:pt>
                <c:pt idx="29">
                  <c:v>1954</c:v>
                </c:pt>
                <c:pt idx="30">
                  <c:v>1955</c:v>
                </c:pt>
                <c:pt idx="31">
                  <c:v>1956</c:v>
                </c:pt>
                <c:pt idx="32">
                  <c:v>1957</c:v>
                </c:pt>
                <c:pt idx="33">
                  <c:v>1958</c:v>
                </c:pt>
                <c:pt idx="34">
                  <c:v>1959</c:v>
                </c:pt>
                <c:pt idx="35">
                  <c:v>1960</c:v>
                </c:pt>
                <c:pt idx="36">
                  <c:v>1961</c:v>
                </c:pt>
                <c:pt idx="37">
                  <c:v>1962</c:v>
                </c:pt>
                <c:pt idx="38">
                  <c:v>1963</c:v>
                </c:pt>
                <c:pt idx="39">
                  <c:v>1964</c:v>
                </c:pt>
                <c:pt idx="40">
                  <c:v>1965</c:v>
                </c:pt>
                <c:pt idx="41">
                  <c:v>1966</c:v>
                </c:pt>
                <c:pt idx="42">
                  <c:v>1967</c:v>
                </c:pt>
                <c:pt idx="43">
                  <c:v>1968</c:v>
                </c:pt>
                <c:pt idx="44">
                  <c:v>1969</c:v>
                </c:pt>
                <c:pt idx="45">
                  <c:v>1970</c:v>
                </c:pt>
                <c:pt idx="46">
                  <c:v>1971</c:v>
                </c:pt>
                <c:pt idx="47">
                  <c:v>1972</c:v>
                </c:pt>
                <c:pt idx="48">
                  <c:v>1973</c:v>
                </c:pt>
                <c:pt idx="49">
                  <c:v>1974</c:v>
                </c:pt>
                <c:pt idx="50">
                  <c:v>1975</c:v>
                </c:pt>
                <c:pt idx="51">
                  <c:v>1976</c:v>
                </c:pt>
                <c:pt idx="52">
                  <c:v>1977</c:v>
                </c:pt>
                <c:pt idx="53">
                  <c:v>1978</c:v>
                </c:pt>
                <c:pt idx="54">
                  <c:v>1979</c:v>
                </c:pt>
                <c:pt idx="55">
                  <c:v>1980</c:v>
                </c:pt>
                <c:pt idx="56">
                  <c:v>1981</c:v>
                </c:pt>
                <c:pt idx="57">
                  <c:v>1982</c:v>
                </c:pt>
                <c:pt idx="58">
                  <c:v>1983</c:v>
                </c:pt>
                <c:pt idx="59">
                  <c:v>1984</c:v>
                </c:pt>
                <c:pt idx="60">
                  <c:v>1985</c:v>
                </c:pt>
                <c:pt idx="61">
                  <c:v>1986</c:v>
                </c:pt>
                <c:pt idx="62">
                  <c:v>1987</c:v>
                </c:pt>
                <c:pt idx="63">
                  <c:v>1988</c:v>
                </c:pt>
                <c:pt idx="64">
                  <c:v>1989</c:v>
                </c:pt>
                <c:pt idx="65">
                  <c:v>1990</c:v>
                </c:pt>
                <c:pt idx="66">
                  <c:v>1991</c:v>
                </c:pt>
                <c:pt idx="67">
                  <c:v>1992</c:v>
                </c:pt>
                <c:pt idx="68">
                  <c:v>1993</c:v>
                </c:pt>
                <c:pt idx="69">
                  <c:v>1994</c:v>
                </c:pt>
                <c:pt idx="70">
                  <c:v>1995</c:v>
                </c:pt>
                <c:pt idx="71">
                  <c:v>1996</c:v>
                </c:pt>
                <c:pt idx="72">
                  <c:v>1997</c:v>
                </c:pt>
                <c:pt idx="73">
                  <c:v>1998</c:v>
                </c:pt>
                <c:pt idx="74">
                  <c:v>1999</c:v>
                </c:pt>
                <c:pt idx="75">
                  <c:v>2000</c:v>
                </c:pt>
                <c:pt idx="76">
                  <c:v>2001</c:v>
                </c:pt>
                <c:pt idx="77">
                  <c:v>2002</c:v>
                </c:pt>
                <c:pt idx="78">
                  <c:v>2003</c:v>
                </c:pt>
                <c:pt idx="79">
                  <c:v>2004</c:v>
                </c:pt>
                <c:pt idx="80">
                  <c:v>2005</c:v>
                </c:pt>
                <c:pt idx="81">
                  <c:v>2006</c:v>
                </c:pt>
                <c:pt idx="82">
                  <c:v>2007</c:v>
                </c:pt>
                <c:pt idx="83">
                  <c:v>2008</c:v>
                </c:pt>
                <c:pt idx="84">
                  <c:v>2009</c:v>
                </c:pt>
                <c:pt idx="85">
                  <c:v>2010</c:v>
                </c:pt>
                <c:pt idx="86">
                  <c:v>2011</c:v>
                </c:pt>
                <c:pt idx="87">
                  <c:v>2012</c:v>
                </c:pt>
                <c:pt idx="88">
                  <c:v>2013</c:v>
                </c:pt>
                <c:pt idx="89">
                  <c:v>2014</c:v>
                </c:pt>
                <c:pt idx="90">
                  <c:v>2015</c:v>
                </c:pt>
                <c:pt idx="91">
                  <c:v>2016</c:v>
                </c:pt>
                <c:pt idx="92">
                  <c:v>2017</c:v>
                </c:pt>
                <c:pt idx="93">
                  <c:v>2018</c:v>
                </c:pt>
              </c:numCache>
            </c:numRef>
          </c:cat>
          <c:val>
            <c:numRef>
              <c:f>'бурабай ест'!$B$99:$B$192</c:f>
              <c:numCache>
                <c:formatCode>0.00</c:formatCode>
                <c:ptCount val="94"/>
                <c:pt idx="0">
                  <c:v>151.42857142857142</c:v>
                </c:pt>
                <c:pt idx="1">
                  <c:v>255.71428571428569</c:v>
                </c:pt>
                <c:pt idx="2">
                  <c:v>107.61904761904761</c:v>
                </c:pt>
                <c:pt idx="3">
                  <c:v>169.14285714285711</c:v>
                </c:pt>
                <c:pt idx="4">
                  <c:v>88.38095238095238</c:v>
                </c:pt>
                <c:pt idx="5">
                  <c:v>100.19047619047619</c:v>
                </c:pt>
                <c:pt idx="6">
                  <c:v>47.190476190476183</c:v>
                </c:pt>
                <c:pt idx="7">
                  <c:v>77.040816326530603</c:v>
                </c:pt>
                <c:pt idx="8">
                  <c:v>83.80952380952381</c:v>
                </c:pt>
                <c:pt idx="9">
                  <c:v>92.976190476190467</c:v>
                </c:pt>
                <c:pt idx="10">
                  <c:v>61.841269841269842</c:v>
                </c:pt>
                <c:pt idx="11">
                  <c:v>83.116883116883116</c:v>
                </c:pt>
                <c:pt idx="12">
                  <c:v>65.158730158730151</c:v>
                </c:pt>
                <c:pt idx="13">
                  <c:v>83.809523809523796</c:v>
                </c:pt>
                <c:pt idx="14">
                  <c:v>64.606782106782092</c:v>
                </c:pt>
                <c:pt idx="15">
                  <c:v>80.119047619047606</c:v>
                </c:pt>
                <c:pt idx="16">
                  <c:v>97.719298245614041</c:v>
                </c:pt>
                <c:pt idx="17">
                  <c:v>101.87246963562754</c:v>
                </c:pt>
                <c:pt idx="18">
                  <c:v>95.060728744939269</c:v>
                </c:pt>
                <c:pt idx="19">
                  <c:v>124.93927125506073</c:v>
                </c:pt>
                <c:pt idx="20">
                  <c:v>97.311066126855621</c:v>
                </c:pt>
                <c:pt idx="21">
                  <c:v>106.94331983805668</c:v>
                </c:pt>
                <c:pt idx="22">
                  <c:v>90.539811066126859</c:v>
                </c:pt>
                <c:pt idx="23">
                  <c:v>80.249662618083676</c:v>
                </c:pt>
                <c:pt idx="24">
                  <c:v>101.95006747638328</c:v>
                </c:pt>
                <c:pt idx="25">
                  <c:v>111.25843454790824</c:v>
                </c:pt>
                <c:pt idx="26">
                  <c:v>102.31326644370122</c:v>
                </c:pt>
                <c:pt idx="27">
                  <c:v>83.017465626161282</c:v>
                </c:pt>
                <c:pt idx="28">
                  <c:v>90.287068004459314</c:v>
                </c:pt>
                <c:pt idx="29">
                  <c:v>86.361947231512445</c:v>
                </c:pt>
                <c:pt idx="30">
                  <c:v>85.87885544407284</c:v>
                </c:pt>
                <c:pt idx="31">
                  <c:v>124.10349312523228</c:v>
                </c:pt>
                <c:pt idx="32">
                  <c:v>92.39594946116685</c:v>
                </c:pt>
                <c:pt idx="33">
                  <c:v>118.91490152359718</c:v>
                </c:pt>
                <c:pt idx="34">
                  <c:v>108.89539204756599</c:v>
                </c:pt>
                <c:pt idx="35">
                  <c:v>118.68264585655891</c:v>
                </c:pt>
                <c:pt idx="36">
                  <c:v>159.90766573668128</c:v>
                </c:pt>
                <c:pt idx="37">
                  <c:v>123.31163367432796</c:v>
                </c:pt>
                <c:pt idx="38">
                  <c:v>107.42438333111907</c:v>
                </c:pt>
                <c:pt idx="39">
                  <c:v>94.548514237633427</c:v>
                </c:pt>
                <c:pt idx="40">
                  <c:v>89.721447234400614</c:v>
                </c:pt>
                <c:pt idx="41">
                  <c:v>100.09521278951331</c:v>
                </c:pt>
                <c:pt idx="42">
                  <c:v>61.844028165271688</c:v>
                </c:pt>
                <c:pt idx="43">
                  <c:v>75.035428014702632</c:v>
                </c:pt>
                <c:pt idx="44">
                  <c:v>94.670298038173684</c:v>
                </c:pt>
                <c:pt idx="45">
                  <c:v>93.967273371418443</c:v>
                </c:pt>
                <c:pt idx="46">
                  <c:v>114.66283060771249</c:v>
                </c:pt>
                <c:pt idx="47">
                  <c:v>81.435493640218056</c:v>
                </c:pt>
                <c:pt idx="48">
                  <c:v>105.36038764385222</c:v>
                </c:pt>
                <c:pt idx="49">
                  <c:v>95.09892994144964</c:v>
                </c:pt>
                <c:pt idx="50">
                  <c:v>94.215626892792244</c:v>
                </c:pt>
                <c:pt idx="51">
                  <c:v>102.52372299616394</c:v>
                </c:pt>
                <c:pt idx="52">
                  <c:v>64.839491217443964</c:v>
                </c:pt>
                <c:pt idx="53">
                  <c:v>110.2261255804563</c:v>
                </c:pt>
                <c:pt idx="54">
                  <c:v>121.45669291338582</c:v>
                </c:pt>
                <c:pt idx="55">
                  <c:v>110.38259640621845</c:v>
                </c:pt>
                <c:pt idx="56">
                  <c:v>152.64957264957263</c:v>
                </c:pt>
                <c:pt idx="57">
                  <c:v>98.943833943833937</c:v>
                </c:pt>
                <c:pt idx="58">
                  <c:v>89.328449328449324</c:v>
                </c:pt>
                <c:pt idx="59">
                  <c:v>85.030525030525027</c:v>
                </c:pt>
                <c:pt idx="60">
                  <c:v>100.5128205128205</c:v>
                </c:pt>
                <c:pt idx="61">
                  <c:v>117.10012210012211</c:v>
                </c:pt>
                <c:pt idx="62">
                  <c:v>68.644688644688628</c:v>
                </c:pt>
                <c:pt idx="63">
                  <c:v>103.29670329670328</c:v>
                </c:pt>
                <c:pt idx="64">
                  <c:v>93.144078144078136</c:v>
                </c:pt>
                <c:pt idx="65">
                  <c:v>92.667887667887669</c:v>
                </c:pt>
                <c:pt idx="66">
                  <c:v>55.115963319088316</c:v>
                </c:pt>
                <c:pt idx="67">
                  <c:v>85.180733618233617</c:v>
                </c:pt>
                <c:pt idx="68">
                  <c:v>84.001068376068375</c:v>
                </c:pt>
                <c:pt idx="69">
                  <c:v>117.6771723646724</c:v>
                </c:pt>
                <c:pt idx="70">
                  <c:v>155.50992699430196</c:v>
                </c:pt>
                <c:pt idx="71">
                  <c:v>112.59682158119658</c:v>
                </c:pt>
                <c:pt idx="72">
                  <c:v>100.01558048433047</c:v>
                </c:pt>
                <c:pt idx="73">
                  <c:v>89.860443376068389</c:v>
                </c:pt>
                <c:pt idx="74">
                  <c:v>105.04585113960115</c:v>
                </c:pt>
                <c:pt idx="75">
                  <c:v>96.393117877492884</c:v>
                </c:pt>
                <c:pt idx="76">
                  <c:v>68.32084416577456</c:v>
                </c:pt>
                <c:pt idx="77">
                  <c:v>72.220523015751652</c:v>
                </c:pt>
                <c:pt idx="78">
                  <c:v>88.03588724065861</c:v>
                </c:pt>
                <c:pt idx="79">
                  <c:v>64.975531426823665</c:v>
                </c:pt>
                <c:pt idx="80">
                  <c:v>96.370494978844889</c:v>
                </c:pt>
                <c:pt idx="81">
                  <c:v>106.15155222511088</c:v>
                </c:pt>
                <c:pt idx="82">
                  <c:v>137.5592598256614</c:v>
                </c:pt>
                <c:pt idx="83">
                  <c:v>123.64913085589031</c:v>
                </c:pt>
                <c:pt idx="84">
                  <c:v>130.58189325584948</c:v>
                </c:pt>
                <c:pt idx="85">
                  <c:v>113.931793852271</c:v>
                </c:pt>
                <c:pt idx="86">
                  <c:v>127.74443215921656</c:v>
                </c:pt>
                <c:pt idx="87">
                  <c:v>83.024008845364079</c:v>
                </c:pt>
                <c:pt idx="88">
                  <c:v>107.93450218501552</c:v>
                </c:pt>
                <c:pt idx="89">
                  <c:v>93.192228715842688</c:v>
                </c:pt>
                <c:pt idx="90">
                  <c:v>83.458379402937936</c:v>
                </c:pt>
                <c:pt idx="91">
                  <c:v>98.694255778444685</c:v>
                </c:pt>
                <c:pt idx="92">
                  <c:v>93.547622808403091</c:v>
                </c:pt>
                <c:pt idx="93">
                  <c:v>113.59448217764441</c:v>
                </c:pt>
              </c:numCache>
            </c:numRef>
          </c:val>
          <c:smooth val="0"/>
          <c:extLst xmlns:c16r2="http://schemas.microsoft.com/office/drawing/2015/06/chart">
            <c:ext xmlns:c16="http://schemas.microsoft.com/office/drawing/2014/chart" uri="{C3380CC4-5D6E-409C-BE32-E72D297353CC}">
              <c16:uniqueId val="{00000000-2243-458C-B251-1E668E181C7E}"/>
            </c:ext>
          </c:extLst>
        </c:ser>
        <c:ser>
          <c:idx val="1"/>
          <c:order val="1"/>
          <c:tx>
            <c:strRef>
              <c:f>'бурабай ест'!$C$98</c:f>
              <c:strCache>
                <c:ptCount val="1"/>
                <c:pt idx="0">
                  <c:v>число Вольфа</c:v>
                </c:pt>
              </c:strCache>
            </c:strRef>
          </c:tx>
          <c:spPr>
            <a:ln w="28575" cap="rnd">
              <a:solidFill>
                <a:srgbClr val="FF0000"/>
              </a:solidFill>
              <a:round/>
            </a:ln>
            <a:effectLst/>
          </c:spPr>
          <c:marker>
            <c:symbol val="none"/>
          </c:marker>
          <c:cat>
            <c:numRef>
              <c:f>'бурабай ест'!$A$99:$A$192</c:f>
              <c:numCache>
                <c:formatCode>General</c:formatCode>
                <c:ptCount val="94"/>
                <c:pt idx="0">
                  <c:v>1925</c:v>
                </c:pt>
                <c:pt idx="1">
                  <c:v>1926</c:v>
                </c:pt>
                <c:pt idx="2">
                  <c:v>1927</c:v>
                </c:pt>
                <c:pt idx="3">
                  <c:v>1928</c:v>
                </c:pt>
                <c:pt idx="4">
                  <c:v>1929</c:v>
                </c:pt>
                <c:pt idx="5">
                  <c:v>1930</c:v>
                </c:pt>
                <c:pt idx="6">
                  <c:v>1931</c:v>
                </c:pt>
                <c:pt idx="7">
                  <c:v>1932</c:v>
                </c:pt>
                <c:pt idx="8">
                  <c:v>1933</c:v>
                </c:pt>
                <c:pt idx="9">
                  <c:v>1934</c:v>
                </c:pt>
                <c:pt idx="10">
                  <c:v>1935</c:v>
                </c:pt>
                <c:pt idx="11">
                  <c:v>1936</c:v>
                </c:pt>
                <c:pt idx="12">
                  <c:v>1937</c:v>
                </c:pt>
                <c:pt idx="13">
                  <c:v>1938</c:v>
                </c:pt>
                <c:pt idx="14">
                  <c:v>1939</c:v>
                </c:pt>
                <c:pt idx="15">
                  <c:v>1940</c:v>
                </c:pt>
                <c:pt idx="16">
                  <c:v>1941</c:v>
                </c:pt>
                <c:pt idx="17">
                  <c:v>1942</c:v>
                </c:pt>
                <c:pt idx="18">
                  <c:v>1943</c:v>
                </c:pt>
                <c:pt idx="19">
                  <c:v>1944</c:v>
                </c:pt>
                <c:pt idx="20">
                  <c:v>1945</c:v>
                </c:pt>
                <c:pt idx="21">
                  <c:v>1946</c:v>
                </c:pt>
                <c:pt idx="22">
                  <c:v>1947</c:v>
                </c:pt>
                <c:pt idx="23">
                  <c:v>1948</c:v>
                </c:pt>
                <c:pt idx="24">
                  <c:v>1949</c:v>
                </c:pt>
                <c:pt idx="25">
                  <c:v>1950</c:v>
                </c:pt>
                <c:pt idx="26">
                  <c:v>1951</c:v>
                </c:pt>
                <c:pt idx="27">
                  <c:v>1952</c:v>
                </c:pt>
                <c:pt idx="28">
                  <c:v>1953</c:v>
                </c:pt>
                <c:pt idx="29">
                  <c:v>1954</c:v>
                </c:pt>
                <c:pt idx="30">
                  <c:v>1955</c:v>
                </c:pt>
                <c:pt idx="31">
                  <c:v>1956</c:v>
                </c:pt>
                <c:pt idx="32">
                  <c:v>1957</c:v>
                </c:pt>
                <c:pt idx="33">
                  <c:v>1958</c:v>
                </c:pt>
                <c:pt idx="34">
                  <c:v>1959</c:v>
                </c:pt>
                <c:pt idx="35">
                  <c:v>1960</c:v>
                </c:pt>
                <c:pt idx="36">
                  <c:v>1961</c:v>
                </c:pt>
                <c:pt idx="37">
                  <c:v>1962</c:v>
                </c:pt>
                <c:pt idx="38">
                  <c:v>1963</c:v>
                </c:pt>
                <c:pt idx="39">
                  <c:v>1964</c:v>
                </c:pt>
                <c:pt idx="40">
                  <c:v>1965</c:v>
                </c:pt>
                <c:pt idx="41">
                  <c:v>1966</c:v>
                </c:pt>
                <c:pt idx="42">
                  <c:v>1967</c:v>
                </c:pt>
                <c:pt idx="43">
                  <c:v>1968</c:v>
                </c:pt>
                <c:pt idx="44">
                  <c:v>1969</c:v>
                </c:pt>
                <c:pt idx="45">
                  <c:v>1970</c:v>
                </c:pt>
                <c:pt idx="46">
                  <c:v>1971</c:v>
                </c:pt>
                <c:pt idx="47">
                  <c:v>1972</c:v>
                </c:pt>
                <c:pt idx="48">
                  <c:v>1973</c:v>
                </c:pt>
                <c:pt idx="49">
                  <c:v>1974</c:v>
                </c:pt>
                <c:pt idx="50">
                  <c:v>1975</c:v>
                </c:pt>
                <c:pt idx="51">
                  <c:v>1976</c:v>
                </c:pt>
                <c:pt idx="52">
                  <c:v>1977</c:v>
                </c:pt>
                <c:pt idx="53">
                  <c:v>1978</c:v>
                </c:pt>
                <c:pt idx="54">
                  <c:v>1979</c:v>
                </c:pt>
                <c:pt idx="55">
                  <c:v>1980</c:v>
                </c:pt>
                <c:pt idx="56">
                  <c:v>1981</c:v>
                </c:pt>
                <c:pt idx="57">
                  <c:v>1982</c:v>
                </c:pt>
                <c:pt idx="58">
                  <c:v>1983</c:v>
                </c:pt>
                <c:pt idx="59">
                  <c:v>1984</c:v>
                </c:pt>
                <c:pt idx="60">
                  <c:v>1985</c:v>
                </c:pt>
                <c:pt idx="61">
                  <c:v>1986</c:v>
                </c:pt>
                <c:pt idx="62">
                  <c:v>1987</c:v>
                </c:pt>
                <c:pt idx="63">
                  <c:v>1988</c:v>
                </c:pt>
                <c:pt idx="64">
                  <c:v>1989</c:v>
                </c:pt>
                <c:pt idx="65">
                  <c:v>1990</c:v>
                </c:pt>
                <c:pt idx="66">
                  <c:v>1991</c:v>
                </c:pt>
                <c:pt idx="67">
                  <c:v>1992</c:v>
                </c:pt>
                <c:pt idx="68">
                  <c:v>1993</c:v>
                </c:pt>
                <c:pt idx="69">
                  <c:v>1994</c:v>
                </c:pt>
                <c:pt idx="70">
                  <c:v>1995</c:v>
                </c:pt>
                <c:pt idx="71">
                  <c:v>1996</c:v>
                </c:pt>
                <c:pt idx="72">
                  <c:v>1997</c:v>
                </c:pt>
                <c:pt idx="73">
                  <c:v>1998</c:v>
                </c:pt>
                <c:pt idx="74">
                  <c:v>1999</c:v>
                </c:pt>
                <c:pt idx="75">
                  <c:v>2000</c:v>
                </c:pt>
                <c:pt idx="76">
                  <c:v>2001</c:v>
                </c:pt>
                <c:pt idx="77">
                  <c:v>2002</c:v>
                </c:pt>
                <c:pt idx="78">
                  <c:v>2003</c:v>
                </c:pt>
                <c:pt idx="79">
                  <c:v>2004</c:v>
                </c:pt>
                <c:pt idx="80">
                  <c:v>2005</c:v>
                </c:pt>
                <c:pt idx="81">
                  <c:v>2006</c:v>
                </c:pt>
                <c:pt idx="82">
                  <c:v>2007</c:v>
                </c:pt>
                <c:pt idx="83">
                  <c:v>2008</c:v>
                </c:pt>
                <c:pt idx="84">
                  <c:v>2009</c:v>
                </c:pt>
                <c:pt idx="85">
                  <c:v>2010</c:v>
                </c:pt>
                <c:pt idx="86">
                  <c:v>2011</c:v>
                </c:pt>
                <c:pt idx="87">
                  <c:v>2012</c:v>
                </c:pt>
                <c:pt idx="88">
                  <c:v>2013</c:v>
                </c:pt>
                <c:pt idx="89">
                  <c:v>2014</c:v>
                </c:pt>
                <c:pt idx="90">
                  <c:v>2015</c:v>
                </c:pt>
                <c:pt idx="91">
                  <c:v>2016</c:v>
                </c:pt>
                <c:pt idx="92">
                  <c:v>2017</c:v>
                </c:pt>
                <c:pt idx="93">
                  <c:v>2018</c:v>
                </c:pt>
              </c:numCache>
            </c:numRef>
          </c:cat>
          <c:val>
            <c:numRef>
              <c:f>'бурабай ест'!$C$99:$C$192</c:f>
              <c:numCache>
                <c:formatCode>General</c:formatCode>
                <c:ptCount val="94"/>
                <c:pt idx="0">
                  <c:v>44</c:v>
                </c:pt>
                <c:pt idx="1">
                  <c:v>64</c:v>
                </c:pt>
                <c:pt idx="2">
                  <c:v>69</c:v>
                </c:pt>
                <c:pt idx="3">
                  <c:v>78</c:v>
                </c:pt>
                <c:pt idx="4">
                  <c:v>65</c:v>
                </c:pt>
                <c:pt idx="5">
                  <c:v>36</c:v>
                </c:pt>
                <c:pt idx="6">
                  <c:v>21</c:v>
                </c:pt>
                <c:pt idx="7">
                  <c:v>11</c:v>
                </c:pt>
                <c:pt idx="8">
                  <c:v>6</c:v>
                </c:pt>
                <c:pt idx="9">
                  <c:v>9</c:v>
                </c:pt>
                <c:pt idx="10">
                  <c:v>36</c:v>
                </c:pt>
                <c:pt idx="11">
                  <c:v>80</c:v>
                </c:pt>
                <c:pt idx="12">
                  <c:v>114</c:v>
                </c:pt>
                <c:pt idx="13">
                  <c:v>110</c:v>
                </c:pt>
                <c:pt idx="14">
                  <c:v>88</c:v>
                </c:pt>
                <c:pt idx="15">
                  <c:v>68</c:v>
                </c:pt>
                <c:pt idx="16">
                  <c:v>47</c:v>
                </c:pt>
                <c:pt idx="17">
                  <c:v>31</c:v>
                </c:pt>
                <c:pt idx="18">
                  <c:v>16</c:v>
                </c:pt>
                <c:pt idx="19">
                  <c:v>10</c:v>
                </c:pt>
                <c:pt idx="20">
                  <c:v>33</c:v>
                </c:pt>
                <c:pt idx="21">
                  <c:v>92</c:v>
                </c:pt>
                <c:pt idx="22">
                  <c:v>151</c:v>
                </c:pt>
                <c:pt idx="23">
                  <c:v>136</c:v>
                </c:pt>
                <c:pt idx="24">
                  <c:v>135</c:v>
                </c:pt>
                <c:pt idx="25">
                  <c:v>80</c:v>
                </c:pt>
                <c:pt idx="26">
                  <c:v>69</c:v>
                </c:pt>
                <c:pt idx="27">
                  <c:v>31</c:v>
                </c:pt>
                <c:pt idx="28">
                  <c:v>14</c:v>
                </c:pt>
                <c:pt idx="29">
                  <c:v>4</c:v>
                </c:pt>
                <c:pt idx="30">
                  <c:v>38</c:v>
                </c:pt>
                <c:pt idx="31">
                  <c:v>142</c:v>
                </c:pt>
                <c:pt idx="32">
                  <c:v>190</c:v>
                </c:pt>
                <c:pt idx="33">
                  <c:v>185</c:v>
                </c:pt>
                <c:pt idx="34">
                  <c:v>159</c:v>
                </c:pt>
                <c:pt idx="35">
                  <c:v>112</c:v>
                </c:pt>
                <c:pt idx="36">
                  <c:v>54</c:v>
                </c:pt>
                <c:pt idx="37">
                  <c:v>37</c:v>
                </c:pt>
                <c:pt idx="38">
                  <c:v>28</c:v>
                </c:pt>
                <c:pt idx="39">
                  <c:v>15</c:v>
                </c:pt>
                <c:pt idx="40">
                  <c:v>15</c:v>
                </c:pt>
                <c:pt idx="41">
                  <c:v>117</c:v>
                </c:pt>
                <c:pt idx="42">
                  <c:v>94</c:v>
                </c:pt>
                <c:pt idx="43">
                  <c:v>106</c:v>
                </c:pt>
                <c:pt idx="44">
                  <c:v>105</c:v>
                </c:pt>
                <c:pt idx="45">
                  <c:v>104</c:v>
                </c:pt>
                <c:pt idx="46">
                  <c:v>66</c:v>
                </c:pt>
                <c:pt idx="47">
                  <c:v>69</c:v>
                </c:pt>
                <c:pt idx="48">
                  <c:v>38</c:v>
                </c:pt>
                <c:pt idx="49">
                  <c:v>31</c:v>
                </c:pt>
                <c:pt idx="50">
                  <c:v>15</c:v>
                </c:pt>
                <c:pt idx="51">
                  <c:v>15</c:v>
                </c:pt>
                <c:pt idx="52">
                  <c:v>27</c:v>
                </c:pt>
                <c:pt idx="53">
                  <c:v>92</c:v>
                </c:pt>
                <c:pt idx="54">
                  <c:v>155</c:v>
                </c:pt>
                <c:pt idx="55">
                  <c:v>155</c:v>
                </c:pt>
                <c:pt idx="56">
                  <c:v>140</c:v>
                </c:pt>
                <c:pt idx="57">
                  <c:v>116</c:v>
                </c:pt>
                <c:pt idx="58">
                  <c:v>66</c:v>
                </c:pt>
                <c:pt idx="59">
                  <c:v>46</c:v>
                </c:pt>
                <c:pt idx="60">
                  <c:v>18</c:v>
                </c:pt>
                <c:pt idx="61">
                  <c:v>13</c:v>
                </c:pt>
                <c:pt idx="62">
                  <c:v>29</c:v>
                </c:pt>
                <c:pt idx="63">
                  <c:v>100</c:v>
                </c:pt>
                <c:pt idx="64">
                  <c:v>157</c:v>
                </c:pt>
                <c:pt idx="65">
                  <c:v>143</c:v>
                </c:pt>
                <c:pt idx="66">
                  <c:v>146</c:v>
                </c:pt>
                <c:pt idx="67">
                  <c:v>94</c:v>
                </c:pt>
                <c:pt idx="68">
                  <c:v>54</c:v>
                </c:pt>
                <c:pt idx="69">
                  <c:v>30</c:v>
                </c:pt>
                <c:pt idx="70">
                  <c:v>15</c:v>
                </c:pt>
                <c:pt idx="71">
                  <c:v>10</c:v>
                </c:pt>
                <c:pt idx="72">
                  <c:v>21</c:v>
                </c:pt>
                <c:pt idx="73">
                  <c:v>64</c:v>
                </c:pt>
                <c:pt idx="74">
                  <c:v>93</c:v>
                </c:pt>
                <c:pt idx="75">
                  <c:v>120</c:v>
                </c:pt>
                <c:pt idx="76">
                  <c:v>111</c:v>
                </c:pt>
                <c:pt idx="77">
                  <c:v>106</c:v>
                </c:pt>
                <c:pt idx="78">
                  <c:v>74</c:v>
                </c:pt>
                <c:pt idx="79">
                  <c:v>42</c:v>
                </c:pt>
                <c:pt idx="80">
                  <c:v>20</c:v>
                </c:pt>
                <c:pt idx="81">
                  <c:v>15</c:v>
                </c:pt>
                <c:pt idx="82">
                  <c:v>8</c:v>
                </c:pt>
                <c:pt idx="83">
                  <c:v>4</c:v>
                </c:pt>
                <c:pt idx="84">
                  <c:v>27</c:v>
                </c:pt>
                <c:pt idx="85">
                  <c:v>77</c:v>
                </c:pt>
                <c:pt idx="86">
                  <c:v>129</c:v>
                </c:pt>
                <c:pt idx="87">
                  <c:v>145</c:v>
                </c:pt>
                <c:pt idx="88">
                  <c:v>137</c:v>
                </c:pt>
                <c:pt idx="89">
                  <c:v>75</c:v>
                </c:pt>
                <c:pt idx="90">
                  <c:v>42</c:v>
                </c:pt>
                <c:pt idx="91">
                  <c:v>15</c:v>
                </c:pt>
                <c:pt idx="92">
                  <c:v>14</c:v>
                </c:pt>
                <c:pt idx="93">
                  <c:v>4</c:v>
                </c:pt>
              </c:numCache>
            </c:numRef>
          </c:val>
          <c:smooth val="0"/>
          <c:extLst xmlns:c16r2="http://schemas.microsoft.com/office/drawing/2015/06/chart">
            <c:ext xmlns:c16="http://schemas.microsoft.com/office/drawing/2014/chart" uri="{C3380CC4-5D6E-409C-BE32-E72D297353CC}">
              <c16:uniqueId val="{00000001-2243-458C-B251-1E668E181C7E}"/>
            </c:ext>
          </c:extLst>
        </c:ser>
        <c:dLbls>
          <c:showLegendKey val="0"/>
          <c:showVal val="0"/>
          <c:showCatName val="0"/>
          <c:showSerName val="0"/>
          <c:showPercent val="0"/>
          <c:showBubbleSize val="0"/>
        </c:dLbls>
        <c:marker val="1"/>
        <c:smooth val="0"/>
        <c:axId val="208620928"/>
        <c:axId val="208627200"/>
      </c:lineChart>
      <c:catAx>
        <c:axId val="208620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 наблюдений</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8627200"/>
        <c:crosses val="autoZero"/>
        <c:auto val="1"/>
        <c:lblAlgn val="ctr"/>
        <c:lblOffset val="100"/>
        <c:noMultiLvlLbl val="0"/>
      </c:catAx>
      <c:valAx>
        <c:axId val="20862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индексы</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62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'Бурабай культуры'!$B$59</c:f>
              <c:strCache>
                <c:ptCount val="1"/>
                <c:pt idx="0">
                  <c:v>индексы</c:v>
                </c:pt>
              </c:strCache>
            </c:strRef>
          </c:tx>
          <c:spPr>
            <a:ln>
              <a:solidFill>
                <a:srgbClr val="00B050"/>
              </a:solidFill>
            </a:ln>
          </c:spPr>
          <c:marker>
            <c:symbol val="none"/>
          </c:marker>
          <c:cat>
            <c:numRef>
              <c:f>'Бурабай культуры'!$A$60:$A$112</c:f>
              <c:numCache>
                <c:formatCode>General</c:formatCode>
                <c:ptCount val="53"/>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numCache>
            </c:numRef>
          </c:cat>
          <c:val>
            <c:numRef>
              <c:f>'Бурабай культуры'!$B$60:$B$112</c:f>
              <c:numCache>
                <c:formatCode>0.00</c:formatCode>
                <c:ptCount val="53"/>
                <c:pt idx="0">
                  <c:v>160.59957173447538</c:v>
                </c:pt>
                <c:pt idx="1">
                  <c:v>103.61646443016892</c:v>
                </c:pt>
                <c:pt idx="2">
                  <c:v>103.85438972162741</c:v>
                </c:pt>
                <c:pt idx="3">
                  <c:v>107.74050281544926</c:v>
                </c:pt>
                <c:pt idx="4">
                  <c:v>130.34907039189696</c:v>
                </c:pt>
                <c:pt idx="5">
                  <c:v>109.30967676149689</c:v>
                </c:pt>
                <c:pt idx="6">
                  <c:v>86.188436830835116</c:v>
                </c:pt>
                <c:pt idx="7">
                  <c:v>96.544796045152921</c:v>
                </c:pt>
                <c:pt idx="8">
                  <c:v>86.208263938456639</c:v>
                </c:pt>
                <c:pt idx="9">
                  <c:v>94.480133238163219</c:v>
                </c:pt>
                <c:pt idx="10">
                  <c:v>95.860099928622404</c:v>
                </c:pt>
                <c:pt idx="11">
                  <c:v>88.175113014513443</c:v>
                </c:pt>
                <c:pt idx="12">
                  <c:v>84.13038305971925</c:v>
                </c:pt>
                <c:pt idx="13">
                  <c:v>79.990482988341654</c:v>
                </c:pt>
                <c:pt idx="14">
                  <c:v>72.805139186295506</c:v>
                </c:pt>
                <c:pt idx="15">
                  <c:v>135.13636363636363</c:v>
                </c:pt>
                <c:pt idx="16">
                  <c:v>116.40909090909092</c:v>
                </c:pt>
                <c:pt idx="17">
                  <c:v>115</c:v>
                </c:pt>
                <c:pt idx="18">
                  <c:v>110.09090909090909</c:v>
                </c:pt>
                <c:pt idx="19">
                  <c:v>108.22727272727273</c:v>
                </c:pt>
                <c:pt idx="20">
                  <c:v>92.63636363636364</c:v>
                </c:pt>
                <c:pt idx="21">
                  <c:v>79.590909090909093</c:v>
                </c:pt>
                <c:pt idx="22">
                  <c:v>79.318181818181813</c:v>
                </c:pt>
                <c:pt idx="23">
                  <c:v>81.181818181818187</c:v>
                </c:pt>
                <c:pt idx="24">
                  <c:v>82.409090909090907</c:v>
                </c:pt>
                <c:pt idx="25">
                  <c:v>81.275113849450833</c:v>
                </c:pt>
                <c:pt idx="26">
                  <c:v>77.631931422448432</c:v>
                </c:pt>
                <c:pt idx="27">
                  <c:v>119.36780069649076</c:v>
                </c:pt>
                <c:pt idx="28">
                  <c:v>135.4406643450308</c:v>
                </c:pt>
                <c:pt idx="29">
                  <c:v>120.97508706134477</c:v>
                </c:pt>
                <c:pt idx="30">
                  <c:v>102.7591749263327</c:v>
                </c:pt>
                <c:pt idx="31">
                  <c:v>84.436110366997056</c:v>
                </c:pt>
                <c:pt idx="32">
                  <c:v>86.579158853469053</c:v>
                </c:pt>
                <c:pt idx="33">
                  <c:v>82.72167157781945</c:v>
                </c:pt>
                <c:pt idx="34">
                  <c:v>108.81328690061612</c:v>
                </c:pt>
                <c:pt idx="35">
                  <c:v>103.23184495953312</c:v>
                </c:pt>
                <c:pt idx="36">
                  <c:v>97.781203545669769</c:v>
                </c:pt>
                <c:pt idx="37">
                  <c:v>99.487970049000722</c:v>
                </c:pt>
                <c:pt idx="38">
                  <c:v>74.822441226669611</c:v>
                </c:pt>
                <c:pt idx="39">
                  <c:v>86.109122942245222</c:v>
                </c:pt>
                <c:pt idx="40">
                  <c:v>105.76446622254034</c:v>
                </c:pt>
                <c:pt idx="41">
                  <c:v>121.34559268843253</c:v>
                </c:pt>
                <c:pt idx="42">
                  <c:v>105.76446622254034</c:v>
                </c:pt>
                <c:pt idx="43">
                  <c:v>111.65556350823103</c:v>
                </c:pt>
                <c:pt idx="44">
                  <c:v>94.037328635137371</c:v>
                </c:pt>
                <c:pt idx="45">
                  <c:v>108.44462993878687</c:v>
                </c:pt>
                <c:pt idx="46">
                  <c:v>77.977184195882032</c:v>
                </c:pt>
                <c:pt idx="47">
                  <c:v>81.663884251530334</c:v>
                </c:pt>
                <c:pt idx="48">
                  <c:v>85.628825820812466</c:v>
                </c:pt>
                <c:pt idx="49">
                  <c:v>90.080690038953819</c:v>
                </c:pt>
                <c:pt idx="50">
                  <c:v>108.65331107401224</c:v>
                </c:pt>
                <c:pt idx="51">
                  <c:v>96.480244852531996</c:v>
                </c:pt>
                <c:pt idx="52">
                  <c:v>101.34947134112409</c:v>
                </c:pt>
              </c:numCache>
            </c:numRef>
          </c:val>
          <c:smooth val="0"/>
          <c:extLst xmlns:c16r2="http://schemas.microsoft.com/office/drawing/2015/06/chart">
            <c:ext xmlns:c16="http://schemas.microsoft.com/office/drawing/2014/chart" uri="{C3380CC4-5D6E-409C-BE32-E72D297353CC}">
              <c16:uniqueId val="{00000000-2B61-4F4A-BA41-D253D2DC6633}"/>
            </c:ext>
          </c:extLst>
        </c:ser>
        <c:ser>
          <c:idx val="1"/>
          <c:order val="1"/>
          <c:tx>
            <c:strRef>
              <c:f>'Бурабай культуры'!$C$59</c:f>
              <c:strCache>
                <c:ptCount val="1"/>
                <c:pt idx="0">
                  <c:v>число Вольфа</c:v>
                </c:pt>
              </c:strCache>
            </c:strRef>
          </c:tx>
          <c:spPr>
            <a:ln>
              <a:solidFill>
                <a:srgbClr val="FF0000"/>
              </a:solidFill>
            </a:ln>
          </c:spPr>
          <c:marker>
            <c:symbol val="none"/>
          </c:marker>
          <c:cat>
            <c:numRef>
              <c:f>'Бурабай культуры'!$A$60:$A$112</c:f>
              <c:numCache>
                <c:formatCode>General</c:formatCode>
                <c:ptCount val="53"/>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numCache>
            </c:numRef>
          </c:cat>
          <c:val>
            <c:numRef>
              <c:f>'Бурабай культуры'!$C$60:$C$112</c:f>
              <c:numCache>
                <c:formatCode>General</c:formatCode>
                <c:ptCount val="53"/>
                <c:pt idx="0">
                  <c:v>117</c:v>
                </c:pt>
                <c:pt idx="1">
                  <c:v>94</c:v>
                </c:pt>
                <c:pt idx="2">
                  <c:v>106</c:v>
                </c:pt>
                <c:pt idx="3">
                  <c:v>105</c:v>
                </c:pt>
                <c:pt idx="4">
                  <c:v>104</c:v>
                </c:pt>
                <c:pt idx="5">
                  <c:v>66</c:v>
                </c:pt>
                <c:pt idx="6">
                  <c:v>69</c:v>
                </c:pt>
                <c:pt idx="7">
                  <c:v>38</c:v>
                </c:pt>
                <c:pt idx="8">
                  <c:v>31</c:v>
                </c:pt>
                <c:pt idx="9">
                  <c:v>15</c:v>
                </c:pt>
                <c:pt idx="10">
                  <c:v>15</c:v>
                </c:pt>
                <c:pt idx="11">
                  <c:v>27</c:v>
                </c:pt>
                <c:pt idx="12">
                  <c:v>92</c:v>
                </c:pt>
                <c:pt idx="13">
                  <c:v>155</c:v>
                </c:pt>
                <c:pt idx="14">
                  <c:v>155</c:v>
                </c:pt>
                <c:pt idx="15">
                  <c:v>140</c:v>
                </c:pt>
                <c:pt idx="16">
                  <c:v>116</c:v>
                </c:pt>
                <c:pt idx="17">
                  <c:v>66</c:v>
                </c:pt>
                <c:pt idx="18">
                  <c:v>46</c:v>
                </c:pt>
                <c:pt idx="19">
                  <c:v>18</c:v>
                </c:pt>
                <c:pt idx="20">
                  <c:v>13</c:v>
                </c:pt>
                <c:pt idx="21">
                  <c:v>29</c:v>
                </c:pt>
                <c:pt idx="22">
                  <c:v>100</c:v>
                </c:pt>
                <c:pt idx="23">
                  <c:v>157</c:v>
                </c:pt>
                <c:pt idx="24">
                  <c:v>143</c:v>
                </c:pt>
                <c:pt idx="25">
                  <c:v>146</c:v>
                </c:pt>
                <c:pt idx="26">
                  <c:v>94</c:v>
                </c:pt>
                <c:pt idx="27">
                  <c:v>54</c:v>
                </c:pt>
                <c:pt idx="28">
                  <c:v>30</c:v>
                </c:pt>
                <c:pt idx="29">
                  <c:v>15</c:v>
                </c:pt>
                <c:pt idx="30">
                  <c:v>10</c:v>
                </c:pt>
                <c:pt idx="31">
                  <c:v>21</c:v>
                </c:pt>
                <c:pt idx="32">
                  <c:v>64</c:v>
                </c:pt>
                <c:pt idx="33">
                  <c:v>93</c:v>
                </c:pt>
                <c:pt idx="34">
                  <c:v>120</c:v>
                </c:pt>
                <c:pt idx="35">
                  <c:v>111</c:v>
                </c:pt>
                <c:pt idx="36">
                  <c:v>106</c:v>
                </c:pt>
                <c:pt idx="37">
                  <c:v>74</c:v>
                </c:pt>
                <c:pt idx="38">
                  <c:v>42</c:v>
                </c:pt>
                <c:pt idx="39">
                  <c:v>20</c:v>
                </c:pt>
                <c:pt idx="40">
                  <c:v>15</c:v>
                </c:pt>
                <c:pt idx="41">
                  <c:v>8</c:v>
                </c:pt>
                <c:pt idx="42">
                  <c:v>4</c:v>
                </c:pt>
                <c:pt idx="43">
                  <c:v>27</c:v>
                </c:pt>
                <c:pt idx="44">
                  <c:v>77</c:v>
                </c:pt>
                <c:pt idx="45">
                  <c:v>129</c:v>
                </c:pt>
                <c:pt idx="46">
                  <c:v>145</c:v>
                </c:pt>
                <c:pt idx="47">
                  <c:v>137</c:v>
                </c:pt>
                <c:pt idx="48">
                  <c:v>75</c:v>
                </c:pt>
                <c:pt idx="49">
                  <c:v>42</c:v>
                </c:pt>
                <c:pt idx="50">
                  <c:v>15</c:v>
                </c:pt>
                <c:pt idx="51">
                  <c:v>14</c:v>
                </c:pt>
                <c:pt idx="52">
                  <c:v>4</c:v>
                </c:pt>
              </c:numCache>
            </c:numRef>
          </c:val>
          <c:smooth val="0"/>
          <c:extLst xmlns:c16r2="http://schemas.microsoft.com/office/drawing/2015/06/chart">
            <c:ext xmlns:c16="http://schemas.microsoft.com/office/drawing/2014/chart" uri="{C3380CC4-5D6E-409C-BE32-E72D297353CC}">
              <c16:uniqueId val="{00000001-2B61-4F4A-BA41-D253D2DC6633}"/>
            </c:ext>
          </c:extLst>
        </c:ser>
        <c:dLbls>
          <c:showLegendKey val="0"/>
          <c:showVal val="0"/>
          <c:showCatName val="0"/>
          <c:showSerName val="0"/>
          <c:showPercent val="0"/>
          <c:showBubbleSize val="0"/>
        </c:dLbls>
        <c:marker val="1"/>
        <c:smooth val="0"/>
        <c:axId val="312627584"/>
        <c:axId val="312629120"/>
      </c:lineChart>
      <c:catAx>
        <c:axId val="312627584"/>
        <c:scaling>
          <c:orientation val="minMax"/>
        </c:scaling>
        <c:delete val="0"/>
        <c:axPos val="b"/>
        <c:majorGridlines/>
        <c:numFmt formatCode="General" sourceLinked="1"/>
        <c:majorTickMark val="none"/>
        <c:minorTickMark val="none"/>
        <c:tickLblPos val="nextTo"/>
        <c:crossAx val="312629120"/>
        <c:crosses val="autoZero"/>
        <c:auto val="1"/>
        <c:lblAlgn val="ctr"/>
        <c:lblOffset val="100"/>
        <c:noMultiLvlLbl val="0"/>
      </c:catAx>
      <c:valAx>
        <c:axId val="312629120"/>
        <c:scaling>
          <c:orientation val="minMax"/>
        </c:scaling>
        <c:delete val="0"/>
        <c:axPos val="l"/>
        <c:majorGridlines/>
        <c:numFmt formatCode="0.00" sourceLinked="1"/>
        <c:majorTickMark val="none"/>
        <c:minorTickMark val="none"/>
        <c:tickLblPos val="nextTo"/>
        <c:spPr>
          <a:ln w="6350">
            <a:noFill/>
          </a:ln>
        </c:spPr>
        <c:crossAx val="312627584"/>
        <c:crosses val="autoZero"/>
        <c:crossBetween val="between"/>
      </c:valAx>
    </c:plotArea>
    <c:legend>
      <c:legendPos val="b"/>
      <c:overlay val="0"/>
    </c:legend>
    <c:plotVisOnly val="1"/>
    <c:dispBlanksAs val="gap"/>
    <c:showDLblsOverMax val="0"/>
  </c:chart>
  <c:spPr>
    <a:ln>
      <a:no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'Семей естест'!$J$1</c:f>
              <c:strCache>
                <c:ptCount val="1"/>
                <c:pt idx="0">
                  <c:v>индексы радиального прироста</c:v>
                </c:pt>
              </c:strCache>
            </c:strRef>
          </c:tx>
          <c:spPr>
            <a:ln w="28575" cap="rnd">
              <a:solidFill>
                <a:schemeClr val="accent1"/>
              </a:solidFill>
              <a:round/>
            </a:ln>
            <a:effectLst/>
          </c:spPr>
          <c:marker>
            <c:symbol val="none"/>
          </c:marker>
          <c:cat>
            <c:numRef>
              <c:f>'Семей естест'!$I$2:$I$149</c:f>
              <c:numCache>
                <c:formatCode>General</c:formatCode>
                <c:ptCount val="148"/>
                <c:pt idx="0">
                  <c:v>1870</c:v>
                </c:pt>
                <c:pt idx="1">
                  <c:v>1871</c:v>
                </c:pt>
                <c:pt idx="2">
                  <c:v>1872</c:v>
                </c:pt>
                <c:pt idx="3">
                  <c:v>1873</c:v>
                </c:pt>
                <c:pt idx="4">
                  <c:v>1874</c:v>
                </c:pt>
                <c:pt idx="5">
                  <c:v>1875</c:v>
                </c:pt>
                <c:pt idx="6">
                  <c:v>1876</c:v>
                </c:pt>
                <c:pt idx="7">
                  <c:v>1877</c:v>
                </c:pt>
                <c:pt idx="8">
                  <c:v>1878</c:v>
                </c:pt>
                <c:pt idx="9">
                  <c:v>1879</c:v>
                </c:pt>
                <c:pt idx="10">
                  <c:v>1880</c:v>
                </c:pt>
                <c:pt idx="11">
                  <c:v>1881</c:v>
                </c:pt>
                <c:pt idx="12">
                  <c:v>1882</c:v>
                </c:pt>
                <c:pt idx="13">
                  <c:v>1883</c:v>
                </c:pt>
                <c:pt idx="14">
                  <c:v>1884</c:v>
                </c:pt>
                <c:pt idx="15">
                  <c:v>1885</c:v>
                </c:pt>
                <c:pt idx="16">
                  <c:v>1886</c:v>
                </c:pt>
                <c:pt idx="17">
                  <c:v>1887</c:v>
                </c:pt>
                <c:pt idx="18">
                  <c:v>1888</c:v>
                </c:pt>
                <c:pt idx="19">
                  <c:v>1889</c:v>
                </c:pt>
                <c:pt idx="20">
                  <c:v>1890</c:v>
                </c:pt>
                <c:pt idx="21">
                  <c:v>1891</c:v>
                </c:pt>
                <c:pt idx="22">
                  <c:v>1892</c:v>
                </c:pt>
                <c:pt idx="23">
                  <c:v>1893</c:v>
                </c:pt>
                <c:pt idx="24">
                  <c:v>1894</c:v>
                </c:pt>
                <c:pt idx="25">
                  <c:v>1895</c:v>
                </c:pt>
                <c:pt idx="26">
                  <c:v>1896</c:v>
                </c:pt>
                <c:pt idx="27">
                  <c:v>1897</c:v>
                </c:pt>
                <c:pt idx="28">
                  <c:v>1898</c:v>
                </c:pt>
                <c:pt idx="29">
                  <c:v>1899</c:v>
                </c:pt>
                <c:pt idx="30">
                  <c:v>1900</c:v>
                </c:pt>
                <c:pt idx="31">
                  <c:v>1901</c:v>
                </c:pt>
                <c:pt idx="32">
                  <c:v>1902</c:v>
                </c:pt>
                <c:pt idx="33">
                  <c:v>1903</c:v>
                </c:pt>
                <c:pt idx="34">
                  <c:v>1904</c:v>
                </c:pt>
                <c:pt idx="35">
                  <c:v>1905</c:v>
                </c:pt>
                <c:pt idx="36">
                  <c:v>1906</c:v>
                </c:pt>
                <c:pt idx="37">
                  <c:v>1907</c:v>
                </c:pt>
                <c:pt idx="38">
                  <c:v>1908</c:v>
                </c:pt>
                <c:pt idx="39">
                  <c:v>1909</c:v>
                </c:pt>
                <c:pt idx="40">
                  <c:v>1910</c:v>
                </c:pt>
                <c:pt idx="41">
                  <c:v>1911</c:v>
                </c:pt>
                <c:pt idx="42">
                  <c:v>1912</c:v>
                </c:pt>
                <c:pt idx="43">
                  <c:v>1913</c:v>
                </c:pt>
                <c:pt idx="44">
                  <c:v>1914</c:v>
                </c:pt>
                <c:pt idx="45">
                  <c:v>1915</c:v>
                </c:pt>
                <c:pt idx="46">
                  <c:v>1916</c:v>
                </c:pt>
                <c:pt idx="47">
                  <c:v>1917</c:v>
                </c:pt>
                <c:pt idx="48">
                  <c:v>1918</c:v>
                </c:pt>
                <c:pt idx="49">
                  <c:v>1919</c:v>
                </c:pt>
                <c:pt idx="50">
                  <c:v>1920</c:v>
                </c:pt>
                <c:pt idx="51">
                  <c:v>1921</c:v>
                </c:pt>
                <c:pt idx="52">
                  <c:v>1922</c:v>
                </c:pt>
                <c:pt idx="53">
                  <c:v>1923</c:v>
                </c:pt>
                <c:pt idx="54">
                  <c:v>1924</c:v>
                </c:pt>
                <c:pt idx="55">
                  <c:v>1925</c:v>
                </c:pt>
                <c:pt idx="56">
                  <c:v>1926</c:v>
                </c:pt>
                <c:pt idx="57">
                  <c:v>1927</c:v>
                </c:pt>
                <c:pt idx="58">
                  <c:v>1928</c:v>
                </c:pt>
                <c:pt idx="59">
                  <c:v>1929</c:v>
                </c:pt>
                <c:pt idx="60">
                  <c:v>1930</c:v>
                </c:pt>
                <c:pt idx="61">
                  <c:v>1931</c:v>
                </c:pt>
                <c:pt idx="62">
                  <c:v>1932</c:v>
                </c:pt>
                <c:pt idx="63">
                  <c:v>1933</c:v>
                </c:pt>
                <c:pt idx="64">
                  <c:v>1934</c:v>
                </c:pt>
                <c:pt idx="65">
                  <c:v>1935</c:v>
                </c:pt>
                <c:pt idx="66">
                  <c:v>1936</c:v>
                </c:pt>
                <c:pt idx="67">
                  <c:v>1937</c:v>
                </c:pt>
                <c:pt idx="68">
                  <c:v>1938</c:v>
                </c:pt>
                <c:pt idx="69">
                  <c:v>1939</c:v>
                </c:pt>
                <c:pt idx="70">
                  <c:v>1940</c:v>
                </c:pt>
                <c:pt idx="71">
                  <c:v>1941</c:v>
                </c:pt>
                <c:pt idx="72">
                  <c:v>1942</c:v>
                </c:pt>
                <c:pt idx="73">
                  <c:v>1943</c:v>
                </c:pt>
                <c:pt idx="74">
                  <c:v>1944</c:v>
                </c:pt>
                <c:pt idx="75">
                  <c:v>1945</c:v>
                </c:pt>
                <c:pt idx="76">
                  <c:v>1946</c:v>
                </c:pt>
                <c:pt idx="77">
                  <c:v>1947</c:v>
                </c:pt>
                <c:pt idx="78">
                  <c:v>1948</c:v>
                </c:pt>
                <c:pt idx="79">
                  <c:v>1949</c:v>
                </c:pt>
                <c:pt idx="80">
                  <c:v>1950</c:v>
                </c:pt>
                <c:pt idx="81">
                  <c:v>1951</c:v>
                </c:pt>
                <c:pt idx="82">
                  <c:v>1952</c:v>
                </c:pt>
                <c:pt idx="83">
                  <c:v>1953</c:v>
                </c:pt>
                <c:pt idx="84">
                  <c:v>1954</c:v>
                </c:pt>
                <c:pt idx="85">
                  <c:v>1955</c:v>
                </c:pt>
                <c:pt idx="86">
                  <c:v>1956</c:v>
                </c:pt>
                <c:pt idx="87">
                  <c:v>1957</c:v>
                </c:pt>
                <c:pt idx="88">
                  <c:v>1958</c:v>
                </c:pt>
                <c:pt idx="89">
                  <c:v>1959</c:v>
                </c:pt>
                <c:pt idx="90">
                  <c:v>1960</c:v>
                </c:pt>
                <c:pt idx="91">
                  <c:v>1961</c:v>
                </c:pt>
                <c:pt idx="92">
                  <c:v>1962</c:v>
                </c:pt>
                <c:pt idx="93">
                  <c:v>1963</c:v>
                </c:pt>
                <c:pt idx="94">
                  <c:v>1964</c:v>
                </c:pt>
                <c:pt idx="95">
                  <c:v>1965</c:v>
                </c:pt>
                <c:pt idx="96">
                  <c:v>1966</c:v>
                </c:pt>
                <c:pt idx="97">
                  <c:v>1967</c:v>
                </c:pt>
                <c:pt idx="98">
                  <c:v>1968</c:v>
                </c:pt>
                <c:pt idx="99">
                  <c:v>1969</c:v>
                </c:pt>
                <c:pt idx="100">
                  <c:v>1970</c:v>
                </c:pt>
                <c:pt idx="101">
                  <c:v>1971</c:v>
                </c:pt>
                <c:pt idx="102">
                  <c:v>1972</c:v>
                </c:pt>
                <c:pt idx="103">
                  <c:v>1973</c:v>
                </c:pt>
                <c:pt idx="104">
                  <c:v>1974</c:v>
                </c:pt>
                <c:pt idx="105">
                  <c:v>1975</c:v>
                </c:pt>
                <c:pt idx="106">
                  <c:v>1976</c:v>
                </c:pt>
                <c:pt idx="107">
                  <c:v>1977</c:v>
                </c:pt>
                <c:pt idx="108">
                  <c:v>1978</c:v>
                </c:pt>
                <c:pt idx="109">
                  <c:v>1979</c:v>
                </c:pt>
                <c:pt idx="110">
                  <c:v>1980</c:v>
                </c:pt>
                <c:pt idx="111">
                  <c:v>1981</c:v>
                </c:pt>
                <c:pt idx="112">
                  <c:v>1982</c:v>
                </c:pt>
                <c:pt idx="113">
                  <c:v>1983</c:v>
                </c:pt>
                <c:pt idx="114">
                  <c:v>1984</c:v>
                </c:pt>
                <c:pt idx="115">
                  <c:v>1985</c:v>
                </c:pt>
                <c:pt idx="116">
                  <c:v>1986</c:v>
                </c:pt>
                <c:pt idx="117">
                  <c:v>1987</c:v>
                </c:pt>
                <c:pt idx="118">
                  <c:v>1988</c:v>
                </c:pt>
                <c:pt idx="119">
                  <c:v>1989</c:v>
                </c:pt>
                <c:pt idx="120">
                  <c:v>1990</c:v>
                </c:pt>
                <c:pt idx="121">
                  <c:v>1991</c:v>
                </c:pt>
                <c:pt idx="122">
                  <c:v>1992</c:v>
                </c:pt>
                <c:pt idx="123">
                  <c:v>1993</c:v>
                </c:pt>
                <c:pt idx="124">
                  <c:v>1994</c:v>
                </c:pt>
                <c:pt idx="125">
                  <c:v>1995</c:v>
                </c:pt>
                <c:pt idx="126">
                  <c:v>1996</c:v>
                </c:pt>
                <c:pt idx="127">
                  <c:v>1997</c:v>
                </c:pt>
                <c:pt idx="128">
                  <c:v>1998</c:v>
                </c:pt>
                <c:pt idx="129">
                  <c:v>1999</c:v>
                </c:pt>
                <c:pt idx="130">
                  <c:v>2000</c:v>
                </c:pt>
                <c:pt idx="131">
                  <c:v>2001</c:v>
                </c:pt>
                <c:pt idx="132">
                  <c:v>2002</c:v>
                </c:pt>
                <c:pt idx="133">
                  <c:v>2003</c:v>
                </c:pt>
                <c:pt idx="134">
                  <c:v>2004</c:v>
                </c:pt>
                <c:pt idx="135">
                  <c:v>2005</c:v>
                </c:pt>
                <c:pt idx="136">
                  <c:v>2006</c:v>
                </c:pt>
                <c:pt idx="137">
                  <c:v>2007</c:v>
                </c:pt>
                <c:pt idx="138">
                  <c:v>2008</c:v>
                </c:pt>
                <c:pt idx="139">
                  <c:v>2009</c:v>
                </c:pt>
                <c:pt idx="140">
                  <c:v>2010</c:v>
                </c:pt>
                <c:pt idx="141">
                  <c:v>2011</c:v>
                </c:pt>
                <c:pt idx="142">
                  <c:v>2012</c:v>
                </c:pt>
                <c:pt idx="143">
                  <c:v>2013</c:v>
                </c:pt>
                <c:pt idx="144">
                  <c:v>2014</c:v>
                </c:pt>
                <c:pt idx="145">
                  <c:v>2015</c:v>
                </c:pt>
                <c:pt idx="146">
                  <c:v>2016</c:v>
                </c:pt>
                <c:pt idx="147">
                  <c:v>2017</c:v>
                </c:pt>
              </c:numCache>
            </c:numRef>
          </c:cat>
          <c:val>
            <c:numRef>
              <c:f>'Семей естест'!$J$2:$J$149</c:f>
              <c:numCache>
                <c:formatCode>0.00</c:formatCode>
                <c:ptCount val="148"/>
                <c:pt idx="0">
                  <c:v>66.187050359712231</c:v>
                </c:pt>
                <c:pt idx="1">
                  <c:v>151.07913669064749</c:v>
                </c:pt>
                <c:pt idx="2">
                  <c:v>133.81294964028777</c:v>
                </c:pt>
                <c:pt idx="3">
                  <c:v>113.66906474820145</c:v>
                </c:pt>
                <c:pt idx="4">
                  <c:v>183.45323741007192</c:v>
                </c:pt>
                <c:pt idx="5">
                  <c:v>113.66906474820145</c:v>
                </c:pt>
                <c:pt idx="6">
                  <c:v>134.17266187050362</c:v>
                </c:pt>
                <c:pt idx="7">
                  <c:v>22.661870503597125</c:v>
                </c:pt>
                <c:pt idx="8">
                  <c:v>29.85611510791367</c:v>
                </c:pt>
                <c:pt idx="9">
                  <c:v>70.863309352517987</c:v>
                </c:pt>
                <c:pt idx="10">
                  <c:v>81.654676258992808</c:v>
                </c:pt>
                <c:pt idx="11">
                  <c:v>71.24183006535948</c:v>
                </c:pt>
                <c:pt idx="12">
                  <c:v>88.562091503267979</c:v>
                </c:pt>
                <c:pt idx="13">
                  <c:v>97.385620915032675</c:v>
                </c:pt>
                <c:pt idx="14">
                  <c:v>70.098039215686271</c:v>
                </c:pt>
                <c:pt idx="15">
                  <c:v>51.96078431372549</c:v>
                </c:pt>
                <c:pt idx="16">
                  <c:v>54.575163398692808</c:v>
                </c:pt>
                <c:pt idx="17">
                  <c:v>131.99346405228758</c:v>
                </c:pt>
                <c:pt idx="18">
                  <c:v>123.75816993464052</c:v>
                </c:pt>
                <c:pt idx="19">
                  <c:v>157.61437908496734</c:v>
                </c:pt>
                <c:pt idx="20">
                  <c:v>152.28758169934639</c:v>
                </c:pt>
                <c:pt idx="21">
                  <c:v>124.12979351032449</c:v>
                </c:pt>
                <c:pt idx="22">
                  <c:v>99.587020648967538</c:v>
                </c:pt>
                <c:pt idx="23">
                  <c:v>73.421828908554559</c:v>
                </c:pt>
                <c:pt idx="24">
                  <c:v>111.50442477876106</c:v>
                </c:pt>
                <c:pt idx="25">
                  <c:v>112.30088495575221</c:v>
                </c:pt>
                <c:pt idx="26">
                  <c:v>80.973451327433622</c:v>
                </c:pt>
                <c:pt idx="27">
                  <c:v>104.92625368731562</c:v>
                </c:pt>
                <c:pt idx="28">
                  <c:v>97.374631268436588</c:v>
                </c:pt>
                <c:pt idx="29">
                  <c:v>105.39823008849558</c:v>
                </c:pt>
                <c:pt idx="30">
                  <c:v>91.415929203539832</c:v>
                </c:pt>
                <c:pt idx="31">
                  <c:v>134.52513966480447</c:v>
                </c:pt>
                <c:pt idx="32">
                  <c:v>172.56983240223462</c:v>
                </c:pt>
                <c:pt idx="33">
                  <c:v>96.536312849162016</c:v>
                </c:pt>
                <c:pt idx="34">
                  <c:v>31.284916201117323</c:v>
                </c:pt>
                <c:pt idx="35">
                  <c:v>35.921787709497202</c:v>
                </c:pt>
                <c:pt idx="36">
                  <c:v>34.469273743016764</c:v>
                </c:pt>
                <c:pt idx="37">
                  <c:v>74.581005586592184</c:v>
                </c:pt>
                <c:pt idx="38">
                  <c:v>136.92737430167597</c:v>
                </c:pt>
                <c:pt idx="39">
                  <c:v>149.9441340782123</c:v>
                </c:pt>
                <c:pt idx="40">
                  <c:v>132.51396648044692</c:v>
                </c:pt>
                <c:pt idx="41">
                  <c:v>123.94117647058825</c:v>
                </c:pt>
                <c:pt idx="42">
                  <c:v>125.05882352941177</c:v>
                </c:pt>
                <c:pt idx="43">
                  <c:v>143.29411764705881</c:v>
                </c:pt>
                <c:pt idx="44">
                  <c:v>135.11764705882354</c:v>
                </c:pt>
                <c:pt idx="45">
                  <c:v>112.76470588235296</c:v>
                </c:pt>
                <c:pt idx="46">
                  <c:v>97.52941176470587</c:v>
                </c:pt>
                <c:pt idx="47">
                  <c:v>77</c:v>
                </c:pt>
                <c:pt idx="48">
                  <c:v>71.117647058823536</c:v>
                </c:pt>
                <c:pt idx="49">
                  <c:v>63.294117647058833</c:v>
                </c:pt>
                <c:pt idx="50">
                  <c:v>49.82352941176471</c:v>
                </c:pt>
                <c:pt idx="51">
                  <c:v>49.148936170212771</c:v>
                </c:pt>
                <c:pt idx="52">
                  <c:v>22.659574468085108</c:v>
                </c:pt>
                <c:pt idx="53">
                  <c:v>38.404255319148938</c:v>
                </c:pt>
                <c:pt idx="54">
                  <c:v>39.042553191489368</c:v>
                </c:pt>
                <c:pt idx="55">
                  <c:v>65.531914893617028</c:v>
                </c:pt>
                <c:pt idx="56">
                  <c:v>110.00000000000001</c:v>
                </c:pt>
                <c:pt idx="57">
                  <c:v>142.44680851063831</c:v>
                </c:pt>
                <c:pt idx="58">
                  <c:v>186.80851063829789</c:v>
                </c:pt>
                <c:pt idx="59">
                  <c:v>174.468085106383</c:v>
                </c:pt>
                <c:pt idx="60">
                  <c:v>171.06382978723406</c:v>
                </c:pt>
                <c:pt idx="61">
                  <c:v>97.96875</c:v>
                </c:pt>
                <c:pt idx="62">
                  <c:v>93.828125</c:v>
                </c:pt>
                <c:pt idx="63">
                  <c:v>103.515625</c:v>
                </c:pt>
                <c:pt idx="64">
                  <c:v>97.03125</c:v>
                </c:pt>
                <c:pt idx="65">
                  <c:v>99.453125</c:v>
                </c:pt>
                <c:pt idx="66">
                  <c:v>91.40625</c:v>
                </c:pt>
                <c:pt idx="67">
                  <c:v>91.875</c:v>
                </c:pt>
                <c:pt idx="68">
                  <c:v>105.23437499999999</c:v>
                </c:pt>
                <c:pt idx="69">
                  <c:v>118.51562499999999</c:v>
                </c:pt>
                <c:pt idx="70">
                  <c:v>104.14062499999999</c:v>
                </c:pt>
                <c:pt idx="71">
                  <c:v>97.69841269841271</c:v>
                </c:pt>
                <c:pt idx="72">
                  <c:v>79.761904761904745</c:v>
                </c:pt>
                <c:pt idx="73">
                  <c:v>69.92063492063491</c:v>
                </c:pt>
                <c:pt idx="74">
                  <c:v>75.476190476190467</c:v>
                </c:pt>
                <c:pt idx="75">
                  <c:v>78.650793650793645</c:v>
                </c:pt>
                <c:pt idx="76">
                  <c:v>93.412698412698418</c:v>
                </c:pt>
                <c:pt idx="77">
                  <c:v>111.9047619047619</c:v>
                </c:pt>
                <c:pt idx="78">
                  <c:v>142.93650793650792</c:v>
                </c:pt>
                <c:pt idx="79">
                  <c:v>137.93650793650795</c:v>
                </c:pt>
                <c:pt idx="80">
                  <c:v>115</c:v>
                </c:pt>
                <c:pt idx="81">
                  <c:v>121.25</c:v>
                </c:pt>
                <c:pt idx="82">
                  <c:v>36.5</c:v>
                </c:pt>
                <c:pt idx="83">
                  <c:v>30.375</c:v>
                </c:pt>
                <c:pt idx="84">
                  <c:v>50.25</c:v>
                </c:pt>
                <c:pt idx="85">
                  <c:v>69</c:v>
                </c:pt>
                <c:pt idx="86">
                  <c:v>68</c:v>
                </c:pt>
                <c:pt idx="87">
                  <c:v>83.125</c:v>
                </c:pt>
                <c:pt idx="88">
                  <c:v>107.375</c:v>
                </c:pt>
                <c:pt idx="89">
                  <c:v>197.12499999999997</c:v>
                </c:pt>
                <c:pt idx="90">
                  <c:v>237.5</c:v>
                </c:pt>
                <c:pt idx="91">
                  <c:v>131.57534246575344</c:v>
                </c:pt>
                <c:pt idx="92">
                  <c:v>92.465753424657535</c:v>
                </c:pt>
                <c:pt idx="93">
                  <c:v>59.178082191780824</c:v>
                </c:pt>
                <c:pt idx="94">
                  <c:v>69.726027397260268</c:v>
                </c:pt>
                <c:pt idx="95">
                  <c:v>74.520547945205493</c:v>
                </c:pt>
                <c:pt idx="96">
                  <c:v>70.753424657534239</c:v>
                </c:pt>
                <c:pt idx="97">
                  <c:v>74.726027397260268</c:v>
                </c:pt>
                <c:pt idx="98">
                  <c:v>140.6849315068493</c:v>
                </c:pt>
                <c:pt idx="99">
                  <c:v>124.58904109589042</c:v>
                </c:pt>
                <c:pt idx="100">
                  <c:v>162.73972602739727</c:v>
                </c:pt>
                <c:pt idx="101">
                  <c:v>152.10191082802547</c:v>
                </c:pt>
                <c:pt idx="102">
                  <c:v>139.99999999999997</c:v>
                </c:pt>
                <c:pt idx="103">
                  <c:v>110.19108280254777</c:v>
                </c:pt>
                <c:pt idx="104">
                  <c:v>76.114649681528661</c:v>
                </c:pt>
                <c:pt idx="105">
                  <c:v>75.859872611464965</c:v>
                </c:pt>
                <c:pt idx="106">
                  <c:v>56.815286624203821</c:v>
                </c:pt>
                <c:pt idx="107">
                  <c:v>66.496815286624198</c:v>
                </c:pt>
                <c:pt idx="108">
                  <c:v>114.07643312101909</c:v>
                </c:pt>
                <c:pt idx="109">
                  <c:v>99.617834394904463</c:v>
                </c:pt>
                <c:pt idx="110">
                  <c:v>106.05095541401273</c:v>
                </c:pt>
                <c:pt idx="111">
                  <c:v>131.91176470588235</c:v>
                </c:pt>
                <c:pt idx="112">
                  <c:v>101.76470588235291</c:v>
                </c:pt>
                <c:pt idx="113">
                  <c:v>105.36764705882354</c:v>
                </c:pt>
                <c:pt idx="114">
                  <c:v>96.691176470588232</c:v>
                </c:pt>
                <c:pt idx="115">
                  <c:v>94.191176470588218</c:v>
                </c:pt>
                <c:pt idx="116">
                  <c:v>109.48529411764706</c:v>
                </c:pt>
                <c:pt idx="117">
                  <c:v>99.044117647058812</c:v>
                </c:pt>
                <c:pt idx="118">
                  <c:v>93.45588235294116</c:v>
                </c:pt>
                <c:pt idx="119">
                  <c:v>98.014705882352928</c:v>
                </c:pt>
                <c:pt idx="120">
                  <c:v>71.470588235294116</c:v>
                </c:pt>
                <c:pt idx="121">
                  <c:v>96.857142857142847</c:v>
                </c:pt>
                <c:pt idx="122">
                  <c:v>101.33333333333333</c:v>
                </c:pt>
                <c:pt idx="123">
                  <c:v>134.09523809523807</c:v>
                </c:pt>
                <c:pt idx="124">
                  <c:v>139.42857142857142</c:v>
                </c:pt>
                <c:pt idx="125">
                  <c:v>198.19047619047618</c:v>
                </c:pt>
                <c:pt idx="126">
                  <c:v>119.71428571428569</c:v>
                </c:pt>
                <c:pt idx="127">
                  <c:v>86.19047619047619</c:v>
                </c:pt>
                <c:pt idx="128">
                  <c:v>50.19047619047619</c:v>
                </c:pt>
                <c:pt idx="129">
                  <c:v>45.904761904761898</c:v>
                </c:pt>
                <c:pt idx="130">
                  <c:v>30.761904761904766</c:v>
                </c:pt>
                <c:pt idx="131">
                  <c:v>47.727272727272727</c:v>
                </c:pt>
                <c:pt idx="132">
                  <c:v>104.09090909090909</c:v>
                </c:pt>
                <c:pt idx="133">
                  <c:v>93.86363636363636</c:v>
                </c:pt>
                <c:pt idx="134">
                  <c:v>80.681818181818187</c:v>
                </c:pt>
                <c:pt idx="135">
                  <c:v>106.81818181818181</c:v>
                </c:pt>
                <c:pt idx="136">
                  <c:v>101.36363636363636</c:v>
                </c:pt>
                <c:pt idx="137">
                  <c:v>148.40909090909091</c:v>
                </c:pt>
                <c:pt idx="138">
                  <c:v>88.86363636363636</c:v>
                </c:pt>
                <c:pt idx="139">
                  <c:v>116.36363636363637</c:v>
                </c:pt>
                <c:pt idx="140">
                  <c:v>101.13636363636364</c:v>
                </c:pt>
                <c:pt idx="141">
                  <c:v>58.918918918918919</c:v>
                </c:pt>
                <c:pt idx="142">
                  <c:v>65</c:v>
                </c:pt>
                <c:pt idx="143">
                  <c:v>73.108108108108112</c:v>
                </c:pt>
                <c:pt idx="144">
                  <c:v>122.43243243243245</c:v>
                </c:pt>
                <c:pt idx="145">
                  <c:v>125</c:v>
                </c:pt>
                <c:pt idx="146">
                  <c:v>132.16216216216216</c:v>
                </c:pt>
                <c:pt idx="147">
                  <c:v>119.18918918918919</c:v>
                </c:pt>
              </c:numCache>
            </c:numRef>
          </c:val>
          <c:smooth val="0"/>
          <c:extLst xmlns:c16r2="http://schemas.microsoft.com/office/drawing/2015/06/chart">
            <c:ext xmlns:c16="http://schemas.microsoft.com/office/drawing/2014/chart" uri="{C3380CC4-5D6E-409C-BE32-E72D297353CC}">
              <c16:uniqueId val="{00000000-5E48-4080-B6FF-D0E85AB728DC}"/>
            </c:ext>
          </c:extLst>
        </c:ser>
        <c:ser>
          <c:idx val="1"/>
          <c:order val="1"/>
          <c:tx>
            <c:strRef>
              <c:f>'Семей естест'!$K$1</c:f>
              <c:strCache>
                <c:ptCount val="1"/>
                <c:pt idx="0">
                  <c:v>Число Вольфа</c:v>
                </c:pt>
              </c:strCache>
            </c:strRef>
          </c:tx>
          <c:spPr>
            <a:ln w="28575" cap="rnd">
              <a:solidFill>
                <a:schemeClr val="accent2"/>
              </a:solidFill>
              <a:round/>
            </a:ln>
            <a:effectLst/>
          </c:spPr>
          <c:marker>
            <c:symbol val="none"/>
          </c:marker>
          <c:cat>
            <c:numRef>
              <c:f>'Семей естест'!$I$2:$I$149</c:f>
              <c:numCache>
                <c:formatCode>General</c:formatCode>
                <c:ptCount val="148"/>
                <c:pt idx="0">
                  <c:v>1870</c:v>
                </c:pt>
                <c:pt idx="1">
                  <c:v>1871</c:v>
                </c:pt>
                <c:pt idx="2">
                  <c:v>1872</c:v>
                </c:pt>
                <c:pt idx="3">
                  <c:v>1873</c:v>
                </c:pt>
                <c:pt idx="4">
                  <c:v>1874</c:v>
                </c:pt>
                <c:pt idx="5">
                  <c:v>1875</c:v>
                </c:pt>
                <c:pt idx="6">
                  <c:v>1876</c:v>
                </c:pt>
                <c:pt idx="7">
                  <c:v>1877</c:v>
                </c:pt>
                <c:pt idx="8">
                  <c:v>1878</c:v>
                </c:pt>
                <c:pt idx="9">
                  <c:v>1879</c:v>
                </c:pt>
                <c:pt idx="10">
                  <c:v>1880</c:v>
                </c:pt>
                <c:pt idx="11">
                  <c:v>1881</c:v>
                </c:pt>
                <c:pt idx="12">
                  <c:v>1882</c:v>
                </c:pt>
                <c:pt idx="13">
                  <c:v>1883</c:v>
                </c:pt>
                <c:pt idx="14">
                  <c:v>1884</c:v>
                </c:pt>
                <c:pt idx="15">
                  <c:v>1885</c:v>
                </c:pt>
                <c:pt idx="16">
                  <c:v>1886</c:v>
                </c:pt>
                <c:pt idx="17">
                  <c:v>1887</c:v>
                </c:pt>
                <c:pt idx="18">
                  <c:v>1888</c:v>
                </c:pt>
                <c:pt idx="19">
                  <c:v>1889</c:v>
                </c:pt>
                <c:pt idx="20">
                  <c:v>1890</c:v>
                </c:pt>
                <c:pt idx="21">
                  <c:v>1891</c:v>
                </c:pt>
                <c:pt idx="22">
                  <c:v>1892</c:v>
                </c:pt>
                <c:pt idx="23">
                  <c:v>1893</c:v>
                </c:pt>
                <c:pt idx="24">
                  <c:v>1894</c:v>
                </c:pt>
                <c:pt idx="25">
                  <c:v>1895</c:v>
                </c:pt>
                <c:pt idx="26">
                  <c:v>1896</c:v>
                </c:pt>
                <c:pt idx="27">
                  <c:v>1897</c:v>
                </c:pt>
                <c:pt idx="28">
                  <c:v>1898</c:v>
                </c:pt>
                <c:pt idx="29">
                  <c:v>1899</c:v>
                </c:pt>
                <c:pt idx="30">
                  <c:v>1900</c:v>
                </c:pt>
                <c:pt idx="31">
                  <c:v>1901</c:v>
                </c:pt>
                <c:pt idx="32">
                  <c:v>1902</c:v>
                </c:pt>
                <c:pt idx="33">
                  <c:v>1903</c:v>
                </c:pt>
                <c:pt idx="34">
                  <c:v>1904</c:v>
                </c:pt>
                <c:pt idx="35">
                  <c:v>1905</c:v>
                </c:pt>
                <c:pt idx="36">
                  <c:v>1906</c:v>
                </c:pt>
                <c:pt idx="37">
                  <c:v>1907</c:v>
                </c:pt>
                <c:pt idx="38">
                  <c:v>1908</c:v>
                </c:pt>
                <c:pt idx="39">
                  <c:v>1909</c:v>
                </c:pt>
                <c:pt idx="40">
                  <c:v>1910</c:v>
                </c:pt>
                <c:pt idx="41">
                  <c:v>1911</c:v>
                </c:pt>
                <c:pt idx="42">
                  <c:v>1912</c:v>
                </c:pt>
                <c:pt idx="43">
                  <c:v>1913</c:v>
                </c:pt>
                <c:pt idx="44">
                  <c:v>1914</c:v>
                </c:pt>
                <c:pt idx="45">
                  <c:v>1915</c:v>
                </c:pt>
                <c:pt idx="46">
                  <c:v>1916</c:v>
                </c:pt>
                <c:pt idx="47">
                  <c:v>1917</c:v>
                </c:pt>
                <c:pt idx="48">
                  <c:v>1918</c:v>
                </c:pt>
                <c:pt idx="49">
                  <c:v>1919</c:v>
                </c:pt>
                <c:pt idx="50">
                  <c:v>1920</c:v>
                </c:pt>
                <c:pt idx="51">
                  <c:v>1921</c:v>
                </c:pt>
                <c:pt idx="52">
                  <c:v>1922</c:v>
                </c:pt>
                <c:pt idx="53">
                  <c:v>1923</c:v>
                </c:pt>
                <c:pt idx="54">
                  <c:v>1924</c:v>
                </c:pt>
                <c:pt idx="55">
                  <c:v>1925</c:v>
                </c:pt>
                <c:pt idx="56">
                  <c:v>1926</c:v>
                </c:pt>
                <c:pt idx="57">
                  <c:v>1927</c:v>
                </c:pt>
                <c:pt idx="58">
                  <c:v>1928</c:v>
                </c:pt>
                <c:pt idx="59">
                  <c:v>1929</c:v>
                </c:pt>
                <c:pt idx="60">
                  <c:v>1930</c:v>
                </c:pt>
                <c:pt idx="61">
                  <c:v>1931</c:v>
                </c:pt>
                <c:pt idx="62">
                  <c:v>1932</c:v>
                </c:pt>
                <c:pt idx="63">
                  <c:v>1933</c:v>
                </c:pt>
                <c:pt idx="64">
                  <c:v>1934</c:v>
                </c:pt>
                <c:pt idx="65">
                  <c:v>1935</c:v>
                </c:pt>
                <c:pt idx="66">
                  <c:v>1936</c:v>
                </c:pt>
                <c:pt idx="67">
                  <c:v>1937</c:v>
                </c:pt>
                <c:pt idx="68">
                  <c:v>1938</c:v>
                </c:pt>
                <c:pt idx="69">
                  <c:v>1939</c:v>
                </c:pt>
                <c:pt idx="70">
                  <c:v>1940</c:v>
                </c:pt>
                <c:pt idx="71">
                  <c:v>1941</c:v>
                </c:pt>
                <c:pt idx="72">
                  <c:v>1942</c:v>
                </c:pt>
                <c:pt idx="73">
                  <c:v>1943</c:v>
                </c:pt>
                <c:pt idx="74">
                  <c:v>1944</c:v>
                </c:pt>
                <c:pt idx="75">
                  <c:v>1945</c:v>
                </c:pt>
                <c:pt idx="76">
                  <c:v>1946</c:v>
                </c:pt>
                <c:pt idx="77">
                  <c:v>1947</c:v>
                </c:pt>
                <c:pt idx="78">
                  <c:v>1948</c:v>
                </c:pt>
                <c:pt idx="79">
                  <c:v>1949</c:v>
                </c:pt>
                <c:pt idx="80">
                  <c:v>1950</c:v>
                </c:pt>
                <c:pt idx="81">
                  <c:v>1951</c:v>
                </c:pt>
                <c:pt idx="82">
                  <c:v>1952</c:v>
                </c:pt>
                <c:pt idx="83">
                  <c:v>1953</c:v>
                </c:pt>
                <c:pt idx="84">
                  <c:v>1954</c:v>
                </c:pt>
                <c:pt idx="85">
                  <c:v>1955</c:v>
                </c:pt>
                <c:pt idx="86">
                  <c:v>1956</c:v>
                </c:pt>
                <c:pt idx="87">
                  <c:v>1957</c:v>
                </c:pt>
                <c:pt idx="88">
                  <c:v>1958</c:v>
                </c:pt>
                <c:pt idx="89">
                  <c:v>1959</c:v>
                </c:pt>
                <c:pt idx="90">
                  <c:v>1960</c:v>
                </c:pt>
                <c:pt idx="91">
                  <c:v>1961</c:v>
                </c:pt>
                <c:pt idx="92">
                  <c:v>1962</c:v>
                </c:pt>
                <c:pt idx="93">
                  <c:v>1963</c:v>
                </c:pt>
                <c:pt idx="94">
                  <c:v>1964</c:v>
                </c:pt>
                <c:pt idx="95">
                  <c:v>1965</c:v>
                </c:pt>
                <c:pt idx="96">
                  <c:v>1966</c:v>
                </c:pt>
                <c:pt idx="97">
                  <c:v>1967</c:v>
                </c:pt>
                <c:pt idx="98">
                  <c:v>1968</c:v>
                </c:pt>
                <c:pt idx="99">
                  <c:v>1969</c:v>
                </c:pt>
                <c:pt idx="100">
                  <c:v>1970</c:v>
                </c:pt>
                <c:pt idx="101">
                  <c:v>1971</c:v>
                </c:pt>
                <c:pt idx="102">
                  <c:v>1972</c:v>
                </c:pt>
                <c:pt idx="103">
                  <c:v>1973</c:v>
                </c:pt>
                <c:pt idx="104">
                  <c:v>1974</c:v>
                </c:pt>
                <c:pt idx="105">
                  <c:v>1975</c:v>
                </c:pt>
                <c:pt idx="106">
                  <c:v>1976</c:v>
                </c:pt>
                <c:pt idx="107">
                  <c:v>1977</c:v>
                </c:pt>
                <c:pt idx="108">
                  <c:v>1978</c:v>
                </c:pt>
                <c:pt idx="109">
                  <c:v>1979</c:v>
                </c:pt>
                <c:pt idx="110">
                  <c:v>1980</c:v>
                </c:pt>
                <c:pt idx="111">
                  <c:v>1981</c:v>
                </c:pt>
                <c:pt idx="112">
                  <c:v>1982</c:v>
                </c:pt>
                <c:pt idx="113">
                  <c:v>1983</c:v>
                </c:pt>
                <c:pt idx="114">
                  <c:v>1984</c:v>
                </c:pt>
                <c:pt idx="115">
                  <c:v>1985</c:v>
                </c:pt>
                <c:pt idx="116">
                  <c:v>1986</c:v>
                </c:pt>
                <c:pt idx="117">
                  <c:v>1987</c:v>
                </c:pt>
                <c:pt idx="118">
                  <c:v>1988</c:v>
                </c:pt>
                <c:pt idx="119">
                  <c:v>1989</c:v>
                </c:pt>
                <c:pt idx="120">
                  <c:v>1990</c:v>
                </c:pt>
                <c:pt idx="121">
                  <c:v>1991</c:v>
                </c:pt>
                <c:pt idx="122">
                  <c:v>1992</c:v>
                </c:pt>
                <c:pt idx="123">
                  <c:v>1993</c:v>
                </c:pt>
                <c:pt idx="124">
                  <c:v>1994</c:v>
                </c:pt>
                <c:pt idx="125">
                  <c:v>1995</c:v>
                </c:pt>
                <c:pt idx="126">
                  <c:v>1996</c:v>
                </c:pt>
                <c:pt idx="127">
                  <c:v>1997</c:v>
                </c:pt>
                <c:pt idx="128">
                  <c:v>1998</c:v>
                </c:pt>
                <c:pt idx="129">
                  <c:v>1999</c:v>
                </c:pt>
                <c:pt idx="130">
                  <c:v>2000</c:v>
                </c:pt>
                <c:pt idx="131">
                  <c:v>2001</c:v>
                </c:pt>
                <c:pt idx="132">
                  <c:v>2002</c:v>
                </c:pt>
                <c:pt idx="133">
                  <c:v>2003</c:v>
                </c:pt>
                <c:pt idx="134">
                  <c:v>2004</c:v>
                </c:pt>
                <c:pt idx="135">
                  <c:v>2005</c:v>
                </c:pt>
                <c:pt idx="136">
                  <c:v>2006</c:v>
                </c:pt>
                <c:pt idx="137">
                  <c:v>2007</c:v>
                </c:pt>
                <c:pt idx="138">
                  <c:v>2008</c:v>
                </c:pt>
                <c:pt idx="139">
                  <c:v>2009</c:v>
                </c:pt>
                <c:pt idx="140">
                  <c:v>2010</c:v>
                </c:pt>
                <c:pt idx="141">
                  <c:v>2011</c:v>
                </c:pt>
                <c:pt idx="142">
                  <c:v>2012</c:v>
                </c:pt>
                <c:pt idx="143">
                  <c:v>2013</c:v>
                </c:pt>
                <c:pt idx="144">
                  <c:v>2014</c:v>
                </c:pt>
                <c:pt idx="145">
                  <c:v>2015</c:v>
                </c:pt>
                <c:pt idx="146">
                  <c:v>2016</c:v>
                </c:pt>
                <c:pt idx="147">
                  <c:v>2017</c:v>
                </c:pt>
              </c:numCache>
            </c:numRef>
          </c:cat>
          <c:val>
            <c:numRef>
              <c:f>'Семей естест'!$K$2:$K$149</c:f>
              <c:numCache>
                <c:formatCode>General</c:formatCode>
                <c:ptCount val="148"/>
                <c:pt idx="0">
                  <c:v>139</c:v>
                </c:pt>
                <c:pt idx="1">
                  <c:v>111</c:v>
                </c:pt>
                <c:pt idx="2">
                  <c:v>102</c:v>
                </c:pt>
                <c:pt idx="3">
                  <c:v>66</c:v>
                </c:pt>
                <c:pt idx="4">
                  <c:v>45</c:v>
                </c:pt>
                <c:pt idx="5">
                  <c:v>17</c:v>
                </c:pt>
                <c:pt idx="6">
                  <c:v>11</c:v>
                </c:pt>
                <c:pt idx="7">
                  <c:v>12</c:v>
                </c:pt>
                <c:pt idx="8">
                  <c:v>3</c:v>
                </c:pt>
                <c:pt idx="9">
                  <c:v>6</c:v>
                </c:pt>
                <c:pt idx="10">
                  <c:v>32</c:v>
                </c:pt>
                <c:pt idx="11">
                  <c:v>45</c:v>
                </c:pt>
                <c:pt idx="12">
                  <c:v>60</c:v>
                </c:pt>
                <c:pt idx="13">
                  <c:v>64</c:v>
                </c:pt>
                <c:pt idx="14">
                  <c:v>63</c:v>
                </c:pt>
                <c:pt idx="15">
                  <c:v>52</c:v>
                </c:pt>
                <c:pt idx="16">
                  <c:v>25</c:v>
                </c:pt>
                <c:pt idx="17">
                  <c:v>13</c:v>
                </c:pt>
                <c:pt idx="18">
                  <c:v>7</c:v>
                </c:pt>
                <c:pt idx="19">
                  <c:v>6</c:v>
                </c:pt>
                <c:pt idx="20">
                  <c:v>7</c:v>
                </c:pt>
                <c:pt idx="21">
                  <c:v>36</c:v>
                </c:pt>
                <c:pt idx="22">
                  <c:v>73</c:v>
                </c:pt>
                <c:pt idx="23">
                  <c:v>85</c:v>
                </c:pt>
                <c:pt idx="24">
                  <c:v>78</c:v>
                </c:pt>
                <c:pt idx="25">
                  <c:v>64</c:v>
                </c:pt>
                <c:pt idx="26">
                  <c:v>42</c:v>
                </c:pt>
                <c:pt idx="27">
                  <c:v>26</c:v>
                </c:pt>
                <c:pt idx="28">
                  <c:v>27</c:v>
                </c:pt>
                <c:pt idx="29">
                  <c:v>12</c:v>
                </c:pt>
                <c:pt idx="30">
                  <c:v>9</c:v>
                </c:pt>
                <c:pt idx="31">
                  <c:v>3</c:v>
                </c:pt>
                <c:pt idx="32">
                  <c:v>5</c:v>
                </c:pt>
                <c:pt idx="33">
                  <c:v>24</c:v>
                </c:pt>
                <c:pt idx="34">
                  <c:v>42</c:v>
                </c:pt>
                <c:pt idx="35">
                  <c:v>63</c:v>
                </c:pt>
                <c:pt idx="36">
                  <c:v>54</c:v>
                </c:pt>
                <c:pt idx="37">
                  <c:v>62</c:v>
                </c:pt>
                <c:pt idx="38">
                  <c:v>42</c:v>
                </c:pt>
                <c:pt idx="39">
                  <c:v>44</c:v>
                </c:pt>
                <c:pt idx="40">
                  <c:v>19</c:v>
                </c:pt>
                <c:pt idx="41">
                  <c:v>6</c:v>
                </c:pt>
                <c:pt idx="42">
                  <c:v>4</c:v>
                </c:pt>
                <c:pt idx="43">
                  <c:v>1</c:v>
                </c:pt>
                <c:pt idx="44">
                  <c:v>10</c:v>
                </c:pt>
                <c:pt idx="45">
                  <c:v>47</c:v>
                </c:pt>
                <c:pt idx="46">
                  <c:v>57</c:v>
                </c:pt>
                <c:pt idx="47">
                  <c:v>107</c:v>
                </c:pt>
                <c:pt idx="48">
                  <c:v>81</c:v>
                </c:pt>
                <c:pt idx="49">
                  <c:v>64</c:v>
                </c:pt>
                <c:pt idx="50">
                  <c:v>38</c:v>
                </c:pt>
                <c:pt idx="51">
                  <c:v>26</c:v>
                </c:pt>
                <c:pt idx="52">
                  <c:v>14</c:v>
                </c:pt>
                <c:pt idx="53">
                  <c:v>6</c:v>
                </c:pt>
                <c:pt idx="54">
                  <c:v>17</c:v>
                </c:pt>
                <c:pt idx="55">
                  <c:v>44</c:v>
                </c:pt>
                <c:pt idx="56">
                  <c:v>64</c:v>
                </c:pt>
                <c:pt idx="57">
                  <c:v>69</c:v>
                </c:pt>
                <c:pt idx="58">
                  <c:v>78</c:v>
                </c:pt>
                <c:pt idx="59">
                  <c:v>65</c:v>
                </c:pt>
                <c:pt idx="60">
                  <c:v>36</c:v>
                </c:pt>
                <c:pt idx="61">
                  <c:v>21</c:v>
                </c:pt>
                <c:pt idx="62">
                  <c:v>11</c:v>
                </c:pt>
                <c:pt idx="63">
                  <c:v>6</c:v>
                </c:pt>
                <c:pt idx="64">
                  <c:v>9</c:v>
                </c:pt>
                <c:pt idx="65">
                  <c:v>36</c:v>
                </c:pt>
                <c:pt idx="66">
                  <c:v>80</c:v>
                </c:pt>
                <c:pt idx="67">
                  <c:v>114</c:v>
                </c:pt>
                <c:pt idx="68">
                  <c:v>110</c:v>
                </c:pt>
                <c:pt idx="69">
                  <c:v>88</c:v>
                </c:pt>
                <c:pt idx="70">
                  <c:v>68</c:v>
                </c:pt>
                <c:pt idx="71">
                  <c:v>47</c:v>
                </c:pt>
                <c:pt idx="72">
                  <c:v>31</c:v>
                </c:pt>
                <c:pt idx="73">
                  <c:v>16</c:v>
                </c:pt>
                <c:pt idx="74">
                  <c:v>10</c:v>
                </c:pt>
                <c:pt idx="75">
                  <c:v>33</c:v>
                </c:pt>
                <c:pt idx="76">
                  <c:v>92</c:v>
                </c:pt>
                <c:pt idx="77">
                  <c:v>151</c:v>
                </c:pt>
                <c:pt idx="78">
                  <c:v>136</c:v>
                </c:pt>
                <c:pt idx="79">
                  <c:v>135</c:v>
                </c:pt>
                <c:pt idx="80">
                  <c:v>80</c:v>
                </c:pt>
                <c:pt idx="81">
                  <c:v>69</c:v>
                </c:pt>
                <c:pt idx="82">
                  <c:v>31</c:v>
                </c:pt>
                <c:pt idx="83">
                  <c:v>14</c:v>
                </c:pt>
                <c:pt idx="84">
                  <c:v>4</c:v>
                </c:pt>
                <c:pt idx="85">
                  <c:v>38</c:v>
                </c:pt>
                <c:pt idx="86">
                  <c:v>142</c:v>
                </c:pt>
                <c:pt idx="87">
                  <c:v>190</c:v>
                </c:pt>
                <c:pt idx="88">
                  <c:v>185</c:v>
                </c:pt>
                <c:pt idx="89">
                  <c:v>159</c:v>
                </c:pt>
                <c:pt idx="90">
                  <c:v>112</c:v>
                </c:pt>
                <c:pt idx="91">
                  <c:v>54</c:v>
                </c:pt>
                <c:pt idx="92">
                  <c:v>37</c:v>
                </c:pt>
                <c:pt idx="93">
                  <c:v>28</c:v>
                </c:pt>
                <c:pt idx="94">
                  <c:v>15</c:v>
                </c:pt>
                <c:pt idx="95">
                  <c:v>15</c:v>
                </c:pt>
                <c:pt idx="96">
                  <c:v>117</c:v>
                </c:pt>
                <c:pt idx="97">
                  <c:v>94</c:v>
                </c:pt>
                <c:pt idx="98">
                  <c:v>106</c:v>
                </c:pt>
                <c:pt idx="99">
                  <c:v>105</c:v>
                </c:pt>
                <c:pt idx="100">
                  <c:v>104</c:v>
                </c:pt>
                <c:pt idx="101">
                  <c:v>66</c:v>
                </c:pt>
                <c:pt idx="102">
                  <c:v>69</c:v>
                </c:pt>
                <c:pt idx="103">
                  <c:v>38</c:v>
                </c:pt>
                <c:pt idx="104">
                  <c:v>31</c:v>
                </c:pt>
                <c:pt idx="105">
                  <c:v>15</c:v>
                </c:pt>
                <c:pt idx="106">
                  <c:v>15</c:v>
                </c:pt>
                <c:pt idx="107">
                  <c:v>27</c:v>
                </c:pt>
                <c:pt idx="108">
                  <c:v>92</c:v>
                </c:pt>
                <c:pt idx="109">
                  <c:v>155</c:v>
                </c:pt>
                <c:pt idx="110">
                  <c:v>155</c:v>
                </c:pt>
                <c:pt idx="111">
                  <c:v>140</c:v>
                </c:pt>
                <c:pt idx="112">
                  <c:v>116</c:v>
                </c:pt>
                <c:pt idx="113">
                  <c:v>66</c:v>
                </c:pt>
                <c:pt idx="114">
                  <c:v>46</c:v>
                </c:pt>
                <c:pt idx="115">
                  <c:v>18</c:v>
                </c:pt>
                <c:pt idx="116">
                  <c:v>13</c:v>
                </c:pt>
                <c:pt idx="117">
                  <c:v>29</c:v>
                </c:pt>
                <c:pt idx="118">
                  <c:v>100</c:v>
                </c:pt>
                <c:pt idx="119">
                  <c:v>157</c:v>
                </c:pt>
                <c:pt idx="120">
                  <c:v>143</c:v>
                </c:pt>
                <c:pt idx="121">
                  <c:v>146</c:v>
                </c:pt>
                <c:pt idx="122">
                  <c:v>94</c:v>
                </c:pt>
                <c:pt idx="123">
                  <c:v>54</c:v>
                </c:pt>
                <c:pt idx="124">
                  <c:v>30</c:v>
                </c:pt>
                <c:pt idx="125">
                  <c:v>15</c:v>
                </c:pt>
                <c:pt idx="126">
                  <c:v>10</c:v>
                </c:pt>
                <c:pt idx="127">
                  <c:v>21</c:v>
                </c:pt>
                <c:pt idx="128">
                  <c:v>64</c:v>
                </c:pt>
                <c:pt idx="129">
                  <c:v>93</c:v>
                </c:pt>
                <c:pt idx="130">
                  <c:v>120</c:v>
                </c:pt>
                <c:pt idx="131">
                  <c:v>111</c:v>
                </c:pt>
                <c:pt idx="132">
                  <c:v>106</c:v>
                </c:pt>
                <c:pt idx="133">
                  <c:v>74</c:v>
                </c:pt>
                <c:pt idx="134">
                  <c:v>42</c:v>
                </c:pt>
                <c:pt idx="135">
                  <c:v>20</c:v>
                </c:pt>
                <c:pt idx="136">
                  <c:v>15</c:v>
                </c:pt>
                <c:pt idx="137">
                  <c:v>8</c:v>
                </c:pt>
                <c:pt idx="138">
                  <c:v>4</c:v>
                </c:pt>
                <c:pt idx="139">
                  <c:v>27</c:v>
                </c:pt>
                <c:pt idx="140">
                  <c:v>77</c:v>
                </c:pt>
                <c:pt idx="141">
                  <c:v>129</c:v>
                </c:pt>
                <c:pt idx="142">
                  <c:v>145</c:v>
                </c:pt>
                <c:pt idx="143">
                  <c:v>137</c:v>
                </c:pt>
                <c:pt idx="144">
                  <c:v>75</c:v>
                </c:pt>
                <c:pt idx="145">
                  <c:v>42</c:v>
                </c:pt>
                <c:pt idx="146">
                  <c:v>15</c:v>
                </c:pt>
                <c:pt idx="147">
                  <c:v>14</c:v>
                </c:pt>
              </c:numCache>
            </c:numRef>
          </c:val>
          <c:smooth val="0"/>
          <c:extLst xmlns:c16r2="http://schemas.microsoft.com/office/drawing/2015/06/chart">
            <c:ext xmlns:c16="http://schemas.microsoft.com/office/drawing/2014/chart" uri="{C3380CC4-5D6E-409C-BE32-E72D297353CC}">
              <c16:uniqueId val="{00000001-5E48-4080-B6FF-D0E85AB728DC}"/>
            </c:ext>
          </c:extLst>
        </c:ser>
        <c:dLbls>
          <c:showLegendKey val="0"/>
          <c:showVal val="0"/>
          <c:showCatName val="0"/>
          <c:showSerName val="0"/>
          <c:showPercent val="0"/>
          <c:showBubbleSize val="0"/>
        </c:dLbls>
        <c:marker val="1"/>
        <c:smooth val="0"/>
        <c:axId val="312664832"/>
        <c:axId val="312666368"/>
      </c:lineChart>
      <c:catAx>
        <c:axId val="312664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666368"/>
        <c:crosses val="autoZero"/>
        <c:auto val="1"/>
        <c:lblAlgn val="ctr"/>
        <c:lblOffset val="100"/>
        <c:noMultiLvlLbl val="0"/>
      </c:catAx>
      <c:valAx>
        <c:axId val="312666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66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'Семей культуры'!$B$53</c:f>
              <c:strCache>
                <c:ptCount val="1"/>
                <c:pt idx="0">
                  <c:v>индексы</c:v>
                </c:pt>
              </c:strCache>
            </c:strRef>
          </c:tx>
          <c:spPr>
            <a:ln>
              <a:solidFill>
                <a:srgbClr val="00B050"/>
              </a:solidFill>
            </a:ln>
          </c:spPr>
          <c:marker>
            <c:symbol val="none"/>
          </c:marker>
          <c:cat>
            <c:numRef>
              <c:f>'Семей культуры'!$A$54:$A$93</c:f>
              <c:numCache>
                <c:formatCode>General</c:formatCode>
                <c:ptCount val="40"/>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numCache>
            </c:numRef>
          </c:cat>
          <c:val>
            <c:numRef>
              <c:f>'Семей культуры'!$B$54:$B$93</c:f>
              <c:numCache>
                <c:formatCode>0.00</c:formatCode>
                <c:ptCount val="40"/>
                <c:pt idx="0">
                  <c:v>101.31578947368422</c:v>
                </c:pt>
                <c:pt idx="1">
                  <c:v>106.7982456140351</c:v>
                </c:pt>
                <c:pt idx="2">
                  <c:v>126.31578947368422</c:v>
                </c:pt>
                <c:pt idx="3">
                  <c:v>119.95614035087721</c:v>
                </c:pt>
                <c:pt idx="4">
                  <c:v>102.19298245614037</c:v>
                </c:pt>
                <c:pt idx="5">
                  <c:v>75.877192982456137</c:v>
                </c:pt>
                <c:pt idx="6">
                  <c:v>95.175438596491233</c:v>
                </c:pt>
                <c:pt idx="7">
                  <c:v>121.92982456140351</c:v>
                </c:pt>
                <c:pt idx="8">
                  <c:v>107.23684210526316</c:v>
                </c:pt>
                <c:pt idx="9">
                  <c:v>89.254385964912302</c:v>
                </c:pt>
                <c:pt idx="10">
                  <c:v>82.675438596491233</c:v>
                </c:pt>
                <c:pt idx="11">
                  <c:v>73.245614035087726</c:v>
                </c:pt>
                <c:pt idx="12">
                  <c:v>134.43223443223442</c:v>
                </c:pt>
                <c:pt idx="13">
                  <c:v>146.15384615384616</c:v>
                </c:pt>
                <c:pt idx="14">
                  <c:v>161.9047619047619</c:v>
                </c:pt>
                <c:pt idx="15">
                  <c:v>128.93772893772893</c:v>
                </c:pt>
                <c:pt idx="16">
                  <c:v>145.05494505494505</c:v>
                </c:pt>
                <c:pt idx="17">
                  <c:v>72.161172161172161</c:v>
                </c:pt>
                <c:pt idx="18">
                  <c:v>55.311355311355314</c:v>
                </c:pt>
                <c:pt idx="19">
                  <c:v>44.688644688644686</c:v>
                </c:pt>
                <c:pt idx="20">
                  <c:v>43.589743589743591</c:v>
                </c:pt>
                <c:pt idx="21">
                  <c:v>68.864468864468861</c:v>
                </c:pt>
                <c:pt idx="22">
                  <c:v>141.42335766423358</c:v>
                </c:pt>
                <c:pt idx="23">
                  <c:v>162.4087591240876</c:v>
                </c:pt>
                <c:pt idx="24">
                  <c:v>113.13868613138685</c:v>
                </c:pt>
                <c:pt idx="25">
                  <c:v>109.48905109489048</c:v>
                </c:pt>
                <c:pt idx="26">
                  <c:v>87.591240875912405</c:v>
                </c:pt>
                <c:pt idx="27">
                  <c:v>70.255474452554751</c:v>
                </c:pt>
                <c:pt idx="28">
                  <c:v>92.153284671532845</c:v>
                </c:pt>
                <c:pt idx="29">
                  <c:v>52.007299270072984</c:v>
                </c:pt>
                <c:pt idx="30">
                  <c:v>93.065693430656921</c:v>
                </c:pt>
                <c:pt idx="31">
                  <c:v>78.467153284671525</c:v>
                </c:pt>
                <c:pt idx="32">
                  <c:v>67.175572519083971</c:v>
                </c:pt>
                <c:pt idx="33">
                  <c:v>49.618320610687022</c:v>
                </c:pt>
                <c:pt idx="34">
                  <c:v>80.152671755725194</c:v>
                </c:pt>
                <c:pt idx="35">
                  <c:v>96.946564885496173</c:v>
                </c:pt>
                <c:pt idx="36">
                  <c:v>119.08396946564885</c:v>
                </c:pt>
                <c:pt idx="37">
                  <c:v>121.37404580152671</c:v>
                </c:pt>
                <c:pt idx="38">
                  <c:v>121.37404580152671</c:v>
                </c:pt>
                <c:pt idx="39">
                  <c:v>144.27480916030532</c:v>
                </c:pt>
              </c:numCache>
            </c:numRef>
          </c:val>
          <c:smooth val="0"/>
          <c:extLst xmlns:c16r2="http://schemas.microsoft.com/office/drawing/2015/06/chart">
            <c:ext xmlns:c16="http://schemas.microsoft.com/office/drawing/2014/chart" uri="{C3380CC4-5D6E-409C-BE32-E72D297353CC}">
              <c16:uniqueId val="{00000000-7260-49AA-998C-32D1AB1F6F1B}"/>
            </c:ext>
          </c:extLst>
        </c:ser>
        <c:ser>
          <c:idx val="1"/>
          <c:order val="1"/>
          <c:tx>
            <c:strRef>
              <c:f>'Семей культуры'!$C$53</c:f>
              <c:strCache>
                <c:ptCount val="1"/>
                <c:pt idx="0">
                  <c:v>число Вольфа</c:v>
                </c:pt>
              </c:strCache>
            </c:strRef>
          </c:tx>
          <c:spPr>
            <a:ln>
              <a:solidFill>
                <a:srgbClr val="FF0000"/>
              </a:solidFill>
            </a:ln>
          </c:spPr>
          <c:marker>
            <c:symbol val="none"/>
          </c:marker>
          <c:cat>
            <c:numRef>
              <c:f>'Семей культуры'!$A$54:$A$93</c:f>
              <c:numCache>
                <c:formatCode>General</c:formatCode>
                <c:ptCount val="40"/>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numCache>
            </c:numRef>
          </c:cat>
          <c:val>
            <c:numRef>
              <c:f>'Семей культуры'!$C$54:$C$93</c:f>
              <c:numCache>
                <c:formatCode>General</c:formatCode>
                <c:ptCount val="40"/>
                <c:pt idx="0">
                  <c:v>155</c:v>
                </c:pt>
                <c:pt idx="1">
                  <c:v>155</c:v>
                </c:pt>
                <c:pt idx="2">
                  <c:v>140</c:v>
                </c:pt>
                <c:pt idx="3">
                  <c:v>116</c:v>
                </c:pt>
                <c:pt idx="4">
                  <c:v>66</c:v>
                </c:pt>
                <c:pt idx="5">
                  <c:v>46</c:v>
                </c:pt>
                <c:pt idx="6">
                  <c:v>18</c:v>
                </c:pt>
                <c:pt idx="7">
                  <c:v>13</c:v>
                </c:pt>
                <c:pt idx="8">
                  <c:v>29</c:v>
                </c:pt>
                <c:pt idx="9">
                  <c:v>100</c:v>
                </c:pt>
                <c:pt idx="10">
                  <c:v>157</c:v>
                </c:pt>
                <c:pt idx="11">
                  <c:v>143</c:v>
                </c:pt>
                <c:pt idx="12">
                  <c:v>146</c:v>
                </c:pt>
                <c:pt idx="13">
                  <c:v>94</c:v>
                </c:pt>
                <c:pt idx="14">
                  <c:v>54</c:v>
                </c:pt>
                <c:pt idx="15">
                  <c:v>30</c:v>
                </c:pt>
                <c:pt idx="16">
                  <c:v>15</c:v>
                </c:pt>
                <c:pt idx="17">
                  <c:v>10</c:v>
                </c:pt>
                <c:pt idx="18">
                  <c:v>21</c:v>
                </c:pt>
                <c:pt idx="19">
                  <c:v>64</c:v>
                </c:pt>
                <c:pt idx="20">
                  <c:v>93</c:v>
                </c:pt>
                <c:pt idx="21">
                  <c:v>120</c:v>
                </c:pt>
                <c:pt idx="22">
                  <c:v>111</c:v>
                </c:pt>
                <c:pt idx="23">
                  <c:v>106</c:v>
                </c:pt>
                <c:pt idx="24">
                  <c:v>74</c:v>
                </c:pt>
                <c:pt idx="25">
                  <c:v>42</c:v>
                </c:pt>
                <c:pt idx="26">
                  <c:v>20</c:v>
                </c:pt>
                <c:pt idx="27">
                  <c:v>15</c:v>
                </c:pt>
                <c:pt idx="28">
                  <c:v>8</c:v>
                </c:pt>
                <c:pt idx="29">
                  <c:v>4</c:v>
                </c:pt>
                <c:pt idx="30">
                  <c:v>27</c:v>
                </c:pt>
                <c:pt idx="31">
                  <c:v>77</c:v>
                </c:pt>
                <c:pt idx="32">
                  <c:v>129</c:v>
                </c:pt>
                <c:pt idx="33">
                  <c:v>145</c:v>
                </c:pt>
                <c:pt idx="34">
                  <c:v>137</c:v>
                </c:pt>
                <c:pt idx="35">
                  <c:v>75</c:v>
                </c:pt>
                <c:pt idx="36">
                  <c:v>42</c:v>
                </c:pt>
                <c:pt idx="37">
                  <c:v>15</c:v>
                </c:pt>
                <c:pt idx="38">
                  <c:v>14</c:v>
                </c:pt>
                <c:pt idx="39">
                  <c:v>4</c:v>
                </c:pt>
              </c:numCache>
            </c:numRef>
          </c:val>
          <c:smooth val="0"/>
          <c:extLst xmlns:c16r2="http://schemas.microsoft.com/office/drawing/2015/06/chart">
            <c:ext xmlns:c16="http://schemas.microsoft.com/office/drawing/2014/chart" uri="{C3380CC4-5D6E-409C-BE32-E72D297353CC}">
              <c16:uniqueId val="{00000001-7260-49AA-998C-32D1AB1F6F1B}"/>
            </c:ext>
          </c:extLst>
        </c:ser>
        <c:dLbls>
          <c:showLegendKey val="0"/>
          <c:showVal val="0"/>
          <c:showCatName val="0"/>
          <c:showSerName val="0"/>
          <c:showPercent val="0"/>
          <c:showBubbleSize val="0"/>
        </c:dLbls>
        <c:dropLines/>
        <c:marker val="1"/>
        <c:smooth val="0"/>
        <c:axId val="312906880"/>
        <c:axId val="312908800"/>
      </c:lineChart>
      <c:catAx>
        <c:axId val="312906880"/>
        <c:scaling>
          <c:orientation val="minMax"/>
        </c:scaling>
        <c:delete val="0"/>
        <c:axPos val="b"/>
        <c:title>
          <c:tx>
            <c:rich>
              <a:bodyPr/>
              <a:lstStyle/>
              <a:p>
                <a:pPr>
                  <a:defRPr/>
                </a:pPr>
                <a:r>
                  <a:rPr lang="ru-RU"/>
                  <a:t>год</a:t>
                </a:r>
              </a:p>
            </c:rich>
          </c:tx>
          <c:overlay val="0"/>
        </c:title>
        <c:numFmt formatCode="General" sourceLinked="1"/>
        <c:majorTickMark val="none"/>
        <c:minorTickMark val="none"/>
        <c:tickLblPos val="nextTo"/>
        <c:txPr>
          <a:bodyPr rot="-5400000" vert="horz"/>
          <a:lstStyle/>
          <a:p>
            <a:pPr>
              <a:defRPr/>
            </a:pPr>
            <a:endParaRPr lang="ru-RU"/>
          </a:p>
        </c:txPr>
        <c:crossAx val="312908800"/>
        <c:crosses val="autoZero"/>
        <c:auto val="1"/>
        <c:lblAlgn val="ctr"/>
        <c:lblOffset val="100"/>
        <c:noMultiLvlLbl val="0"/>
      </c:catAx>
      <c:valAx>
        <c:axId val="312908800"/>
        <c:scaling>
          <c:orientation val="minMax"/>
        </c:scaling>
        <c:delete val="0"/>
        <c:axPos val="l"/>
        <c:majorGridlines/>
        <c:title>
          <c:tx>
            <c:rich>
              <a:bodyPr/>
              <a:lstStyle/>
              <a:p>
                <a:pPr>
                  <a:defRPr/>
                </a:pPr>
                <a:r>
                  <a:rPr lang="ru-RU"/>
                  <a:t>индексы радиального прироста</a:t>
                </a:r>
              </a:p>
            </c:rich>
          </c:tx>
          <c:overlay val="0"/>
        </c:title>
        <c:numFmt formatCode="0.00" sourceLinked="1"/>
        <c:majorTickMark val="out"/>
        <c:minorTickMark val="none"/>
        <c:tickLblPos val="nextTo"/>
        <c:crossAx val="312906880"/>
        <c:crosses val="autoZero"/>
        <c:crossBetween val="between"/>
      </c:valAx>
    </c:plotArea>
    <c:legend>
      <c:legendPos val="b"/>
      <c:overlay val="0"/>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577363456270967E-2"/>
          <c:y val="6.8085247849999683E-2"/>
          <c:w val="0.86795068191407954"/>
          <c:h val="0.63404387060312206"/>
        </c:manualLayout>
      </c:layout>
      <c:scatterChart>
        <c:scatterStyle val="lineMarker"/>
        <c:varyColors val="0"/>
        <c:ser>
          <c:idx val="1"/>
          <c:order val="1"/>
          <c:tx>
            <c:strRef>
              <c:f>yrk2!$G$1</c:f>
              <c:strCache>
                <c:ptCount val="1"/>
                <c:pt idx="0">
                  <c:v>res</c:v>
                </c:pt>
              </c:strCache>
            </c:strRef>
          </c:tx>
          <c:spPr>
            <a:ln w="12700">
              <a:solidFill>
                <a:srgbClr val="000000"/>
              </a:solidFill>
              <a:prstDash val="solid"/>
            </a:ln>
          </c:spPr>
          <c:marker>
            <c:symbol val="none"/>
          </c:marker>
          <c:xVal>
            <c:numRef>
              <c:f>yrk2!$A$2:$A$118</c:f>
              <c:numCache>
                <c:formatCode>General</c:formatCode>
                <c:ptCount val="117"/>
                <c:pt idx="0">
                  <c:v>1902</c:v>
                </c:pt>
                <c:pt idx="1">
                  <c:v>1903</c:v>
                </c:pt>
                <c:pt idx="2">
                  <c:v>1904</c:v>
                </c:pt>
                <c:pt idx="3">
                  <c:v>1905</c:v>
                </c:pt>
                <c:pt idx="4">
                  <c:v>1906</c:v>
                </c:pt>
                <c:pt idx="5">
                  <c:v>1907</c:v>
                </c:pt>
                <c:pt idx="6">
                  <c:v>1908</c:v>
                </c:pt>
                <c:pt idx="7">
                  <c:v>1909</c:v>
                </c:pt>
                <c:pt idx="8">
                  <c:v>1910</c:v>
                </c:pt>
                <c:pt idx="9">
                  <c:v>1911</c:v>
                </c:pt>
                <c:pt idx="10">
                  <c:v>1912</c:v>
                </c:pt>
                <c:pt idx="11">
                  <c:v>1913</c:v>
                </c:pt>
                <c:pt idx="12">
                  <c:v>1914</c:v>
                </c:pt>
                <c:pt idx="13">
                  <c:v>1915</c:v>
                </c:pt>
                <c:pt idx="14">
                  <c:v>1916</c:v>
                </c:pt>
                <c:pt idx="15">
                  <c:v>1917</c:v>
                </c:pt>
                <c:pt idx="16">
                  <c:v>1918</c:v>
                </c:pt>
                <c:pt idx="17">
                  <c:v>1919</c:v>
                </c:pt>
                <c:pt idx="18">
                  <c:v>1920</c:v>
                </c:pt>
                <c:pt idx="19">
                  <c:v>1921</c:v>
                </c:pt>
                <c:pt idx="20">
                  <c:v>1922</c:v>
                </c:pt>
                <c:pt idx="21">
                  <c:v>1923</c:v>
                </c:pt>
                <c:pt idx="22">
                  <c:v>1924</c:v>
                </c:pt>
                <c:pt idx="23">
                  <c:v>1925</c:v>
                </c:pt>
                <c:pt idx="24">
                  <c:v>1926</c:v>
                </c:pt>
                <c:pt idx="25">
                  <c:v>1927</c:v>
                </c:pt>
                <c:pt idx="26">
                  <c:v>1928</c:v>
                </c:pt>
                <c:pt idx="27">
                  <c:v>1929</c:v>
                </c:pt>
                <c:pt idx="28">
                  <c:v>1930</c:v>
                </c:pt>
                <c:pt idx="29">
                  <c:v>1931</c:v>
                </c:pt>
                <c:pt idx="30">
                  <c:v>1932</c:v>
                </c:pt>
                <c:pt idx="31">
                  <c:v>1933</c:v>
                </c:pt>
                <c:pt idx="32">
                  <c:v>1934</c:v>
                </c:pt>
                <c:pt idx="33">
                  <c:v>1935</c:v>
                </c:pt>
                <c:pt idx="34">
                  <c:v>1936</c:v>
                </c:pt>
                <c:pt idx="35">
                  <c:v>1937</c:v>
                </c:pt>
                <c:pt idx="36">
                  <c:v>1938</c:v>
                </c:pt>
                <c:pt idx="37">
                  <c:v>1939</c:v>
                </c:pt>
                <c:pt idx="38">
                  <c:v>1940</c:v>
                </c:pt>
                <c:pt idx="39">
                  <c:v>1941</c:v>
                </c:pt>
                <c:pt idx="40">
                  <c:v>1942</c:v>
                </c:pt>
                <c:pt idx="41">
                  <c:v>1943</c:v>
                </c:pt>
                <c:pt idx="42">
                  <c:v>1944</c:v>
                </c:pt>
                <c:pt idx="43">
                  <c:v>1945</c:v>
                </c:pt>
                <c:pt idx="44">
                  <c:v>1946</c:v>
                </c:pt>
                <c:pt idx="45">
                  <c:v>1947</c:v>
                </c:pt>
                <c:pt idx="46">
                  <c:v>1948</c:v>
                </c:pt>
                <c:pt idx="47">
                  <c:v>1949</c:v>
                </c:pt>
                <c:pt idx="48">
                  <c:v>1950</c:v>
                </c:pt>
                <c:pt idx="49">
                  <c:v>1951</c:v>
                </c:pt>
                <c:pt idx="50">
                  <c:v>1952</c:v>
                </c:pt>
                <c:pt idx="51">
                  <c:v>1953</c:v>
                </c:pt>
                <c:pt idx="52">
                  <c:v>1954</c:v>
                </c:pt>
                <c:pt idx="53">
                  <c:v>1955</c:v>
                </c:pt>
                <c:pt idx="54">
                  <c:v>1956</c:v>
                </c:pt>
                <c:pt idx="55">
                  <c:v>1957</c:v>
                </c:pt>
                <c:pt idx="56">
                  <c:v>1958</c:v>
                </c:pt>
                <c:pt idx="57">
                  <c:v>1959</c:v>
                </c:pt>
                <c:pt idx="58">
                  <c:v>1960</c:v>
                </c:pt>
                <c:pt idx="59">
                  <c:v>1961</c:v>
                </c:pt>
                <c:pt idx="60">
                  <c:v>1962</c:v>
                </c:pt>
                <c:pt idx="61">
                  <c:v>1963</c:v>
                </c:pt>
                <c:pt idx="62">
                  <c:v>1964</c:v>
                </c:pt>
                <c:pt idx="63">
                  <c:v>1965</c:v>
                </c:pt>
                <c:pt idx="64">
                  <c:v>1966</c:v>
                </c:pt>
                <c:pt idx="65">
                  <c:v>1967</c:v>
                </c:pt>
                <c:pt idx="66">
                  <c:v>1968</c:v>
                </c:pt>
                <c:pt idx="67">
                  <c:v>1969</c:v>
                </c:pt>
                <c:pt idx="68">
                  <c:v>1970</c:v>
                </c:pt>
                <c:pt idx="69">
                  <c:v>1971</c:v>
                </c:pt>
                <c:pt idx="70">
                  <c:v>1972</c:v>
                </c:pt>
                <c:pt idx="71">
                  <c:v>1973</c:v>
                </c:pt>
                <c:pt idx="72">
                  <c:v>1974</c:v>
                </c:pt>
                <c:pt idx="73">
                  <c:v>1975</c:v>
                </c:pt>
                <c:pt idx="74">
                  <c:v>1976</c:v>
                </c:pt>
                <c:pt idx="75">
                  <c:v>1977</c:v>
                </c:pt>
                <c:pt idx="76">
                  <c:v>1978</c:v>
                </c:pt>
                <c:pt idx="77">
                  <c:v>1979</c:v>
                </c:pt>
                <c:pt idx="78">
                  <c:v>1980</c:v>
                </c:pt>
                <c:pt idx="79">
                  <c:v>1981</c:v>
                </c:pt>
                <c:pt idx="80">
                  <c:v>1982</c:v>
                </c:pt>
                <c:pt idx="81">
                  <c:v>1983</c:v>
                </c:pt>
                <c:pt idx="82">
                  <c:v>1984</c:v>
                </c:pt>
                <c:pt idx="83">
                  <c:v>1985</c:v>
                </c:pt>
                <c:pt idx="84">
                  <c:v>1986</c:v>
                </c:pt>
                <c:pt idx="85">
                  <c:v>1987</c:v>
                </c:pt>
                <c:pt idx="86">
                  <c:v>1988</c:v>
                </c:pt>
                <c:pt idx="87">
                  <c:v>1989</c:v>
                </c:pt>
                <c:pt idx="88">
                  <c:v>1990</c:v>
                </c:pt>
                <c:pt idx="89">
                  <c:v>1991</c:v>
                </c:pt>
                <c:pt idx="90">
                  <c:v>1992</c:v>
                </c:pt>
                <c:pt idx="91">
                  <c:v>1993</c:v>
                </c:pt>
                <c:pt idx="92">
                  <c:v>1994</c:v>
                </c:pt>
                <c:pt idx="93">
                  <c:v>1995</c:v>
                </c:pt>
                <c:pt idx="94">
                  <c:v>1996</c:v>
                </c:pt>
                <c:pt idx="95">
                  <c:v>1997</c:v>
                </c:pt>
                <c:pt idx="96">
                  <c:v>1998</c:v>
                </c:pt>
                <c:pt idx="97">
                  <c:v>1999</c:v>
                </c:pt>
                <c:pt idx="98">
                  <c:v>2000</c:v>
                </c:pt>
                <c:pt idx="99">
                  <c:v>2001</c:v>
                </c:pt>
                <c:pt idx="100">
                  <c:v>2002</c:v>
                </c:pt>
                <c:pt idx="101">
                  <c:v>2003</c:v>
                </c:pt>
                <c:pt idx="102">
                  <c:v>2004</c:v>
                </c:pt>
                <c:pt idx="103">
                  <c:v>2005</c:v>
                </c:pt>
                <c:pt idx="104">
                  <c:v>2006</c:v>
                </c:pt>
                <c:pt idx="105">
                  <c:v>2007</c:v>
                </c:pt>
                <c:pt idx="106">
                  <c:v>2008</c:v>
                </c:pt>
                <c:pt idx="107">
                  <c:v>2009</c:v>
                </c:pt>
                <c:pt idx="108">
                  <c:v>2010</c:v>
                </c:pt>
                <c:pt idx="109">
                  <c:v>2011</c:v>
                </c:pt>
                <c:pt idx="110">
                  <c:v>2012</c:v>
                </c:pt>
                <c:pt idx="111">
                  <c:v>2013</c:v>
                </c:pt>
                <c:pt idx="112">
                  <c:v>2014</c:v>
                </c:pt>
                <c:pt idx="113">
                  <c:v>2015</c:v>
                </c:pt>
                <c:pt idx="114">
                  <c:v>2016</c:v>
                </c:pt>
                <c:pt idx="115">
                  <c:v>2017</c:v>
                </c:pt>
                <c:pt idx="116">
                  <c:v>2018</c:v>
                </c:pt>
              </c:numCache>
            </c:numRef>
          </c:xVal>
          <c:yVal>
            <c:numRef>
              <c:f>yrk2!$G$2:$G$118</c:f>
              <c:numCache>
                <c:formatCode>General</c:formatCode>
                <c:ptCount val="117"/>
                <c:pt idx="0">
                  <c:v>1.302</c:v>
                </c:pt>
                <c:pt idx="1">
                  <c:v>1.137</c:v>
                </c:pt>
                <c:pt idx="2">
                  <c:v>0.878</c:v>
                </c:pt>
                <c:pt idx="3">
                  <c:v>1.641</c:v>
                </c:pt>
                <c:pt idx="4">
                  <c:v>0.60399999999999998</c:v>
                </c:pt>
                <c:pt idx="5">
                  <c:v>1.2889999999999999</c:v>
                </c:pt>
                <c:pt idx="6">
                  <c:v>1.23</c:v>
                </c:pt>
                <c:pt idx="7">
                  <c:v>1.1359999999999999</c:v>
                </c:pt>
                <c:pt idx="8">
                  <c:v>0.69399999999999995</c:v>
                </c:pt>
                <c:pt idx="9">
                  <c:v>0.68600000000000005</c:v>
                </c:pt>
                <c:pt idx="10">
                  <c:v>0.77</c:v>
                </c:pt>
                <c:pt idx="11">
                  <c:v>0.92500000000000004</c:v>
                </c:pt>
                <c:pt idx="12">
                  <c:v>1.488</c:v>
                </c:pt>
                <c:pt idx="13">
                  <c:v>0.746</c:v>
                </c:pt>
                <c:pt idx="14">
                  <c:v>0.69599999999999995</c:v>
                </c:pt>
                <c:pt idx="15">
                  <c:v>0.80800000000000005</c:v>
                </c:pt>
                <c:pt idx="16">
                  <c:v>1.109</c:v>
                </c:pt>
                <c:pt idx="17">
                  <c:v>1.1419999999999999</c:v>
                </c:pt>
                <c:pt idx="18">
                  <c:v>0.95499999999999996</c:v>
                </c:pt>
                <c:pt idx="19">
                  <c:v>0.80300000000000005</c:v>
                </c:pt>
                <c:pt idx="20">
                  <c:v>1.2090000000000001</c:v>
                </c:pt>
                <c:pt idx="21">
                  <c:v>0.92900000000000005</c:v>
                </c:pt>
                <c:pt idx="22">
                  <c:v>0.93100000000000005</c:v>
                </c:pt>
                <c:pt idx="23">
                  <c:v>1.0229999999999999</c:v>
                </c:pt>
                <c:pt idx="24">
                  <c:v>1.046</c:v>
                </c:pt>
                <c:pt idx="25">
                  <c:v>0.89300000000000002</c:v>
                </c:pt>
                <c:pt idx="26">
                  <c:v>1.1499999999999999</c:v>
                </c:pt>
                <c:pt idx="27">
                  <c:v>0.76</c:v>
                </c:pt>
                <c:pt idx="28">
                  <c:v>0.96199999999999997</c:v>
                </c:pt>
                <c:pt idx="29">
                  <c:v>0.85599999999999998</c:v>
                </c:pt>
                <c:pt idx="30">
                  <c:v>0.95099999999999996</c:v>
                </c:pt>
                <c:pt idx="31">
                  <c:v>1.024</c:v>
                </c:pt>
                <c:pt idx="32">
                  <c:v>1.095</c:v>
                </c:pt>
                <c:pt idx="33">
                  <c:v>1.0609999999999999</c:v>
                </c:pt>
                <c:pt idx="34">
                  <c:v>0.60199999999999998</c:v>
                </c:pt>
                <c:pt idx="35">
                  <c:v>0.86899999999999999</c:v>
                </c:pt>
                <c:pt idx="36">
                  <c:v>1.2969999999999999</c:v>
                </c:pt>
                <c:pt idx="37">
                  <c:v>0.98499999999999999</c:v>
                </c:pt>
                <c:pt idx="38">
                  <c:v>1.149</c:v>
                </c:pt>
                <c:pt idx="39">
                  <c:v>0.89</c:v>
                </c:pt>
                <c:pt idx="40">
                  <c:v>1.0209999999999999</c:v>
                </c:pt>
                <c:pt idx="41">
                  <c:v>1.038</c:v>
                </c:pt>
                <c:pt idx="42">
                  <c:v>1.052</c:v>
                </c:pt>
                <c:pt idx="43">
                  <c:v>0.871</c:v>
                </c:pt>
                <c:pt idx="44">
                  <c:v>1.2190000000000001</c:v>
                </c:pt>
                <c:pt idx="45">
                  <c:v>1.389</c:v>
                </c:pt>
                <c:pt idx="46">
                  <c:v>1.036</c:v>
                </c:pt>
                <c:pt idx="47">
                  <c:v>1.069</c:v>
                </c:pt>
                <c:pt idx="48">
                  <c:v>1.371</c:v>
                </c:pt>
                <c:pt idx="49">
                  <c:v>1.0249999999999999</c:v>
                </c:pt>
                <c:pt idx="50">
                  <c:v>0.47199999999999998</c:v>
                </c:pt>
                <c:pt idx="51">
                  <c:v>0.99</c:v>
                </c:pt>
                <c:pt idx="52">
                  <c:v>0.92600000000000005</c:v>
                </c:pt>
                <c:pt idx="53">
                  <c:v>0.70599999999999996</c:v>
                </c:pt>
                <c:pt idx="54">
                  <c:v>1.073</c:v>
                </c:pt>
                <c:pt idx="55">
                  <c:v>0.98599999999999999</c:v>
                </c:pt>
                <c:pt idx="56">
                  <c:v>1.135</c:v>
                </c:pt>
                <c:pt idx="57">
                  <c:v>0.97499999999999998</c:v>
                </c:pt>
                <c:pt idx="58">
                  <c:v>1.1850000000000001</c:v>
                </c:pt>
                <c:pt idx="59">
                  <c:v>1.2030000000000001</c:v>
                </c:pt>
                <c:pt idx="60">
                  <c:v>0.83499999999999996</c:v>
                </c:pt>
                <c:pt idx="61">
                  <c:v>0.88500000000000001</c:v>
                </c:pt>
                <c:pt idx="62">
                  <c:v>1.2350000000000001</c:v>
                </c:pt>
                <c:pt idx="63">
                  <c:v>0.55300000000000005</c:v>
                </c:pt>
                <c:pt idx="64">
                  <c:v>1.042</c:v>
                </c:pt>
                <c:pt idx="65">
                  <c:v>0.69599999999999995</c:v>
                </c:pt>
                <c:pt idx="66">
                  <c:v>0.87</c:v>
                </c:pt>
                <c:pt idx="67">
                  <c:v>1.1120000000000001</c:v>
                </c:pt>
                <c:pt idx="68">
                  <c:v>0.94299999999999995</c:v>
                </c:pt>
                <c:pt idx="69">
                  <c:v>1.1080000000000001</c:v>
                </c:pt>
                <c:pt idx="70">
                  <c:v>1.0669999999999999</c:v>
                </c:pt>
                <c:pt idx="71">
                  <c:v>1.095</c:v>
                </c:pt>
                <c:pt idx="72">
                  <c:v>0.73799999999999999</c:v>
                </c:pt>
                <c:pt idx="73">
                  <c:v>0.81899999999999995</c:v>
                </c:pt>
                <c:pt idx="74">
                  <c:v>0.98699999999999999</c:v>
                </c:pt>
                <c:pt idx="75">
                  <c:v>0.64700000000000002</c:v>
                </c:pt>
                <c:pt idx="76">
                  <c:v>1.258</c:v>
                </c:pt>
                <c:pt idx="77">
                  <c:v>1.726</c:v>
                </c:pt>
                <c:pt idx="78">
                  <c:v>1.395</c:v>
                </c:pt>
                <c:pt idx="79">
                  <c:v>1.272</c:v>
                </c:pt>
                <c:pt idx="80">
                  <c:v>0.57399999999999995</c:v>
                </c:pt>
                <c:pt idx="81">
                  <c:v>1.0880000000000001</c:v>
                </c:pt>
                <c:pt idx="82">
                  <c:v>0.92600000000000005</c:v>
                </c:pt>
                <c:pt idx="83">
                  <c:v>0.82299999999999995</c:v>
                </c:pt>
                <c:pt idx="84">
                  <c:v>1.139</c:v>
                </c:pt>
                <c:pt idx="85">
                  <c:v>0.88300000000000001</c:v>
                </c:pt>
                <c:pt idx="86">
                  <c:v>0.65200000000000002</c:v>
                </c:pt>
                <c:pt idx="87">
                  <c:v>0.83099999999999996</c:v>
                </c:pt>
                <c:pt idx="88">
                  <c:v>1.093</c:v>
                </c:pt>
                <c:pt idx="89">
                  <c:v>0.63100000000000001</c:v>
                </c:pt>
                <c:pt idx="90">
                  <c:v>0.78200000000000003</c:v>
                </c:pt>
                <c:pt idx="91">
                  <c:v>1.4430000000000001</c:v>
                </c:pt>
                <c:pt idx="92">
                  <c:v>1.1080000000000001</c:v>
                </c:pt>
                <c:pt idx="93">
                  <c:v>1.137</c:v>
                </c:pt>
                <c:pt idx="94">
                  <c:v>0.80200000000000005</c:v>
                </c:pt>
                <c:pt idx="95">
                  <c:v>0.83499999999999996</c:v>
                </c:pt>
                <c:pt idx="96">
                  <c:v>0.59499999999999997</c:v>
                </c:pt>
                <c:pt idx="97">
                  <c:v>0.84499999999999997</c:v>
                </c:pt>
                <c:pt idx="98">
                  <c:v>0.85499999999999998</c:v>
                </c:pt>
                <c:pt idx="99">
                  <c:v>0.89500000000000002</c:v>
                </c:pt>
                <c:pt idx="100">
                  <c:v>1.2490000000000001</c:v>
                </c:pt>
                <c:pt idx="101">
                  <c:v>0.77600000000000002</c:v>
                </c:pt>
                <c:pt idx="102">
                  <c:v>0.58299999999999996</c:v>
                </c:pt>
                <c:pt idx="103">
                  <c:v>1.2869999999999999</c:v>
                </c:pt>
                <c:pt idx="104">
                  <c:v>1.0660000000000001</c:v>
                </c:pt>
                <c:pt idx="105">
                  <c:v>1.9870000000000001</c:v>
                </c:pt>
                <c:pt idx="106">
                  <c:v>0.95799999999999996</c:v>
                </c:pt>
                <c:pt idx="107">
                  <c:v>1.0669999999999999</c:v>
                </c:pt>
                <c:pt idx="108">
                  <c:v>0.73499999999999999</c:v>
                </c:pt>
                <c:pt idx="109">
                  <c:v>1.071</c:v>
                </c:pt>
                <c:pt idx="110">
                  <c:v>0.60499999999999998</c:v>
                </c:pt>
                <c:pt idx="111">
                  <c:v>1.024</c:v>
                </c:pt>
                <c:pt idx="112">
                  <c:v>0.97399999999999998</c:v>
                </c:pt>
                <c:pt idx="113">
                  <c:v>1.0760000000000001</c:v>
                </c:pt>
                <c:pt idx="114">
                  <c:v>1.3939999999999999</c:v>
                </c:pt>
                <c:pt idx="115">
                  <c:v>0.83299999999999996</c:v>
                </c:pt>
                <c:pt idx="116">
                  <c:v>1.3360000000000001</c:v>
                </c:pt>
              </c:numCache>
            </c:numRef>
          </c:yVal>
          <c:smooth val="0"/>
          <c:extLst xmlns:c16r2="http://schemas.microsoft.com/office/drawing/2015/06/chart">
            <c:ext xmlns:c16="http://schemas.microsoft.com/office/drawing/2014/chart" uri="{C3380CC4-5D6E-409C-BE32-E72D297353CC}">
              <c16:uniqueId val="{00000000-6D34-48EA-B56E-0AB64475F26E}"/>
            </c:ext>
          </c:extLst>
        </c:ser>
        <c:dLbls>
          <c:showLegendKey val="0"/>
          <c:showVal val="0"/>
          <c:showCatName val="0"/>
          <c:showSerName val="0"/>
          <c:showPercent val="0"/>
          <c:showBubbleSize val="0"/>
        </c:dLbls>
        <c:axId val="681179392"/>
        <c:axId val="681513344"/>
      </c:scatterChart>
      <c:scatterChart>
        <c:scatterStyle val="lineMarker"/>
        <c:varyColors val="0"/>
        <c:ser>
          <c:idx val="0"/>
          <c:order val="0"/>
          <c:tx>
            <c:strRef>
              <c:f>yrk2!$B$1</c:f>
              <c:strCache>
                <c:ptCount val="1"/>
                <c:pt idx="0">
                  <c:v>num</c:v>
                </c:pt>
              </c:strCache>
            </c:strRef>
          </c:tx>
          <c:spPr>
            <a:ln w="19050">
              <a:solidFill>
                <a:srgbClr val="C00000"/>
              </a:solidFill>
              <a:prstDash val="sysDash"/>
            </a:ln>
          </c:spPr>
          <c:marker>
            <c:symbol val="none"/>
          </c:marker>
          <c:xVal>
            <c:numRef>
              <c:f>yrk2!$A$2:$A$118</c:f>
              <c:numCache>
                <c:formatCode>General</c:formatCode>
                <c:ptCount val="117"/>
                <c:pt idx="0">
                  <c:v>1902</c:v>
                </c:pt>
                <c:pt idx="1">
                  <c:v>1903</c:v>
                </c:pt>
                <c:pt idx="2">
                  <c:v>1904</c:v>
                </c:pt>
                <c:pt idx="3">
                  <c:v>1905</c:v>
                </c:pt>
                <c:pt idx="4">
                  <c:v>1906</c:v>
                </c:pt>
                <c:pt idx="5">
                  <c:v>1907</c:v>
                </c:pt>
                <c:pt idx="6">
                  <c:v>1908</c:v>
                </c:pt>
                <c:pt idx="7">
                  <c:v>1909</c:v>
                </c:pt>
                <c:pt idx="8">
                  <c:v>1910</c:v>
                </c:pt>
                <c:pt idx="9">
                  <c:v>1911</c:v>
                </c:pt>
                <c:pt idx="10">
                  <c:v>1912</c:v>
                </c:pt>
                <c:pt idx="11">
                  <c:v>1913</c:v>
                </c:pt>
                <c:pt idx="12">
                  <c:v>1914</c:v>
                </c:pt>
                <c:pt idx="13">
                  <c:v>1915</c:v>
                </c:pt>
                <c:pt idx="14">
                  <c:v>1916</c:v>
                </c:pt>
                <c:pt idx="15">
                  <c:v>1917</c:v>
                </c:pt>
                <c:pt idx="16">
                  <c:v>1918</c:v>
                </c:pt>
                <c:pt idx="17">
                  <c:v>1919</c:v>
                </c:pt>
                <c:pt idx="18">
                  <c:v>1920</c:v>
                </c:pt>
                <c:pt idx="19">
                  <c:v>1921</c:v>
                </c:pt>
                <c:pt idx="20">
                  <c:v>1922</c:v>
                </c:pt>
                <c:pt idx="21">
                  <c:v>1923</c:v>
                </c:pt>
                <c:pt idx="22">
                  <c:v>1924</c:v>
                </c:pt>
                <c:pt idx="23">
                  <c:v>1925</c:v>
                </c:pt>
                <c:pt idx="24">
                  <c:v>1926</c:v>
                </c:pt>
                <c:pt idx="25">
                  <c:v>1927</c:v>
                </c:pt>
                <c:pt idx="26">
                  <c:v>1928</c:v>
                </c:pt>
                <c:pt idx="27">
                  <c:v>1929</c:v>
                </c:pt>
                <c:pt idx="28">
                  <c:v>1930</c:v>
                </c:pt>
                <c:pt idx="29">
                  <c:v>1931</c:v>
                </c:pt>
                <c:pt idx="30">
                  <c:v>1932</c:v>
                </c:pt>
                <c:pt idx="31">
                  <c:v>1933</c:v>
                </c:pt>
                <c:pt idx="32">
                  <c:v>1934</c:v>
                </c:pt>
                <c:pt idx="33">
                  <c:v>1935</c:v>
                </c:pt>
                <c:pt idx="34">
                  <c:v>1936</c:v>
                </c:pt>
                <c:pt idx="35">
                  <c:v>1937</c:v>
                </c:pt>
                <c:pt idx="36">
                  <c:v>1938</c:v>
                </c:pt>
                <c:pt idx="37">
                  <c:v>1939</c:v>
                </c:pt>
                <c:pt idx="38">
                  <c:v>1940</c:v>
                </c:pt>
                <c:pt idx="39">
                  <c:v>1941</c:v>
                </c:pt>
                <c:pt idx="40">
                  <c:v>1942</c:v>
                </c:pt>
                <c:pt idx="41">
                  <c:v>1943</c:v>
                </c:pt>
                <c:pt idx="42">
                  <c:v>1944</c:v>
                </c:pt>
                <c:pt idx="43">
                  <c:v>1945</c:v>
                </c:pt>
                <c:pt idx="44">
                  <c:v>1946</c:v>
                </c:pt>
                <c:pt idx="45">
                  <c:v>1947</c:v>
                </c:pt>
                <c:pt idx="46">
                  <c:v>1948</c:v>
                </c:pt>
                <c:pt idx="47">
                  <c:v>1949</c:v>
                </c:pt>
                <c:pt idx="48">
                  <c:v>1950</c:v>
                </c:pt>
                <c:pt idx="49">
                  <c:v>1951</c:v>
                </c:pt>
                <c:pt idx="50">
                  <c:v>1952</c:v>
                </c:pt>
                <c:pt idx="51">
                  <c:v>1953</c:v>
                </c:pt>
                <c:pt idx="52">
                  <c:v>1954</c:v>
                </c:pt>
                <c:pt idx="53">
                  <c:v>1955</c:v>
                </c:pt>
                <c:pt idx="54">
                  <c:v>1956</c:v>
                </c:pt>
                <c:pt idx="55">
                  <c:v>1957</c:v>
                </c:pt>
                <c:pt idx="56">
                  <c:v>1958</c:v>
                </c:pt>
                <c:pt idx="57">
                  <c:v>1959</c:v>
                </c:pt>
                <c:pt idx="58">
                  <c:v>1960</c:v>
                </c:pt>
                <c:pt idx="59">
                  <c:v>1961</c:v>
                </c:pt>
                <c:pt idx="60">
                  <c:v>1962</c:v>
                </c:pt>
                <c:pt idx="61">
                  <c:v>1963</c:v>
                </c:pt>
                <c:pt idx="62">
                  <c:v>1964</c:v>
                </c:pt>
                <c:pt idx="63">
                  <c:v>1965</c:v>
                </c:pt>
                <c:pt idx="64">
                  <c:v>1966</c:v>
                </c:pt>
                <c:pt idx="65">
                  <c:v>1967</c:v>
                </c:pt>
                <c:pt idx="66">
                  <c:v>1968</c:v>
                </c:pt>
                <c:pt idx="67">
                  <c:v>1969</c:v>
                </c:pt>
                <c:pt idx="68">
                  <c:v>1970</c:v>
                </c:pt>
                <c:pt idx="69">
                  <c:v>1971</c:v>
                </c:pt>
                <c:pt idx="70">
                  <c:v>1972</c:v>
                </c:pt>
                <c:pt idx="71">
                  <c:v>1973</c:v>
                </c:pt>
                <c:pt idx="72">
                  <c:v>1974</c:v>
                </c:pt>
                <c:pt idx="73">
                  <c:v>1975</c:v>
                </c:pt>
                <c:pt idx="74">
                  <c:v>1976</c:v>
                </c:pt>
                <c:pt idx="75">
                  <c:v>1977</c:v>
                </c:pt>
                <c:pt idx="76">
                  <c:v>1978</c:v>
                </c:pt>
                <c:pt idx="77">
                  <c:v>1979</c:v>
                </c:pt>
                <c:pt idx="78">
                  <c:v>1980</c:v>
                </c:pt>
                <c:pt idx="79">
                  <c:v>1981</c:v>
                </c:pt>
                <c:pt idx="80">
                  <c:v>1982</c:v>
                </c:pt>
                <c:pt idx="81">
                  <c:v>1983</c:v>
                </c:pt>
                <c:pt idx="82">
                  <c:v>1984</c:v>
                </c:pt>
                <c:pt idx="83">
                  <c:v>1985</c:v>
                </c:pt>
                <c:pt idx="84">
                  <c:v>1986</c:v>
                </c:pt>
                <c:pt idx="85">
                  <c:v>1987</c:v>
                </c:pt>
                <c:pt idx="86">
                  <c:v>1988</c:v>
                </c:pt>
                <c:pt idx="87">
                  <c:v>1989</c:v>
                </c:pt>
                <c:pt idx="88">
                  <c:v>1990</c:v>
                </c:pt>
                <c:pt idx="89">
                  <c:v>1991</c:v>
                </c:pt>
                <c:pt idx="90">
                  <c:v>1992</c:v>
                </c:pt>
                <c:pt idx="91">
                  <c:v>1993</c:v>
                </c:pt>
                <c:pt idx="92">
                  <c:v>1994</c:v>
                </c:pt>
                <c:pt idx="93">
                  <c:v>1995</c:v>
                </c:pt>
                <c:pt idx="94">
                  <c:v>1996</c:v>
                </c:pt>
                <c:pt idx="95">
                  <c:v>1997</c:v>
                </c:pt>
                <c:pt idx="96">
                  <c:v>1998</c:v>
                </c:pt>
                <c:pt idx="97">
                  <c:v>1999</c:v>
                </c:pt>
                <c:pt idx="98">
                  <c:v>2000</c:v>
                </c:pt>
                <c:pt idx="99">
                  <c:v>2001</c:v>
                </c:pt>
                <c:pt idx="100">
                  <c:v>2002</c:v>
                </c:pt>
                <c:pt idx="101">
                  <c:v>2003</c:v>
                </c:pt>
                <c:pt idx="102">
                  <c:v>2004</c:v>
                </c:pt>
                <c:pt idx="103">
                  <c:v>2005</c:v>
                </c:pt>
                <c:pt idx="104">
                  <c:v>2006</c:v>
                </c:pt>
                <c:pt idx="105">
                  <c:v>2007</c:v>
                </c:pt>
                <c:pt idx="106">
                  <c:v>2008</c:v>
                </c:pt>
                <c:pt idx="107">
                  <c:v>2009</c:v>
                </c:pt>
                <c:pt idx="108">
                  <c:v>2010</c:v>
                </c:pt>
                <c:pt idx="109">
                  <c:v>2011</c:v>
                </c:pt>
                <c:pt idx="110">
                  <c:v>2012</c:v>
                </c:pt>
                <c:pt idx="111">
                  <c:v>2013</c:v>
                </c:pt>
                <c:pt idx="112">
                  <c:v>2014</c:v>
                </c:pt>
                <c:pt idx="113">
                  <c:v>2015</c:v>
                </c:pt>
                <c:pt idx="114">
                  <c:v>2016</c:v>
                </c:pt>
                <c:pt idx="115">
                  <c:v>2017</c:v>
                </c:pt>
                <c:pt idx="116">
                  <c:v>2018</c:v>
                </c:pt>
              </c:numCache>
            </c:numRef>
          </c:xVal>
          <c:yVal>
            <c:numRef>
              <c:f>yrk2!$B$2:$B$118</c:f>
              <c:numCache>
                <c:formatCode>General</c:formatCode>
                <c:ptCount val="117"/>
                <c:pt idx="0">
                  <c:v>1</c:v>
                </c:pt>
                <c:pt idx="1">
                  <c:v>1</c:v>
                </c:pt>
                <c:pt idx="2">
                  <c:v>1</c:v>
                </c:pt>
                <c:pt idx="3">
                  <c:v>1</c:v>
                </c:pt>
                <c:pt idx="4">
                  <c:v>1</c:v>
                </c:pt>
                <c:pt idx="5">
                  <c:v>2</c:v>
                </c:pt>
                <c:pt idx="6">
                  <c:v>3</c:v>
                </c:pt>
                <c:pt idx="7">
                  <c:v>3</c:v>
                </c:pt>
                <c:pt idx="8">
                  <c:v>3</c:v>
                </c:pt>
                <c:pt idx="9">
                  <c:v>6</c:v>
                </c:pt>
                <c:pt idx="10">
                  <c:v>6</c:v>
                </c:pt>
                <c:pt idx="11">
                  <c:v>6</c:v>
                </c:pt>
                <c:pt idx="12">
                  <c:v>6</c:v>
                </c:pt>
                <c:pt idx="13">
                  <c:v>6</c:v>
                </c:pt>
                <c:pt idx="14">
                  <c:v>6</c:v>
                </c:pt>
                <c:pt idx="15">
                  <c:v>7</c:v>
                </c:pt>
                <c:pt idx="16">
                  <c:v>9</c:v>
                </c:pt>
                <c:pt idx="17">
                  <c:v>9</c:v>
                </c:pt>
                <c:pt idx="18">
                  <c:v>9</c:v>
                </c:pt>
                <c:pt idx="19">
                  <c:v>10</c:v>
                </c:pt>
                <c:pt idx="20">
                  <c:v>10</c:v>
                </c:pt>
                <c:pt idx="21">
                  <c:v>10</c:v>
                </c:pt>
                <c:pt idx="22">
                  <c:v>10</c:v>
                </c:pt>
                <c:pt idx="23">
                  <c:v>11</c:v>
                </c:pt>
                <c:pt idx="24">
                  <c:v>11</c:v>
                </c:pt>
                <c:pt idx="25">
                  <c:v>11</c:v>
                </c:pt>
                <c:pt idx="26">
                  <c:v>11</c:v>
                </c:pt>
                <c:pt idx="27">
                  <c:v>12</c:v>
                </c:pt>
                <c:pt idx="28">
                  <c:v>12</c:v>
                </c:pt>
                <c:pt idx="29">
                  <c:v>12</c:v>
                </c:pt>
                <c:pt idx="30">
                  <c:v>12</c:v>
                </c:pt>
                <c:pt idx="31">
                  <c:v>13</c:v>
                </c:pt>
                <c:pt idx="32">
                  <c:v>13</c:v>
                </c:pt>
                <c:pt idx="33">
                  <c:v>14</c:v>
                </c:pt>
                <c:pt idx="34">
                  <c:v>14</c:v>
                </c:pt>
                <c:pt idx="35">
                  <c:v>15</c:v>
                </c:pt>
                <c:pt idx="36">
                  <c:v>15</c:v>
                </c:pt>
                <c:pt idx="37">
                  <c:v>15</c:v>
                </c:pt>
                <c:pt idx="38">
                  <c:v>15</c:v>
                </c:pt>
                <c:pt idx="39">
                  <c:v>15</c:v>
                </c:pt>
                <c:pt idx="40">
                  <c:v>16</c:v>
                </c:pt>
                <c:pt idx="41">
                  <c:v>16</c:v>
                </c:pt>
                <c:pt idx="42">
                  <c:v>16</c:v>
                </c:pt>
                <c:pt idx="43">
                  <c:v>16</c:v>
                </c:pt>
                <c:pt idx="44">
                  <c:v>16</c:v>
                </c:pt>
                <c:pt idx="45">
                  <c:v>16</c:v>
                </c:pt>
                <c:pt idx="46">
                  <c:v>16</c:v>
                </c:pt>
                <c:pt idx="47">
                  <c:v>17</c:v>
                </c:pt>
                <c:pt idx="48">
                  <c:v>18</c:v>
                </c:pt>
                <c:pt idx="49">
                  <c:v>18</c:v>
                </c:pt>
                <c:pt idx="50">
                  <c:v>19</c:v>
                </c:pt>
                <c:pt idx="51">
                  <c:v>19</c:v>
                </c:pt>
                <c:pt idx="52">
                  <c:v>19</c:v>
                </c:pt>
                <c:pt idx="53">
                  <c:v>19</c:v>
                </c:pt>
                <c:pt idx="54">
                  <c:v>19</c:v>
                </c:pt>
                <c:pt idx="55">
                  <c:v>20</c:v>
                </c:pt>
                <c:pt idx="56">
                  <c:v>20</c:v>
                </c:pt>
                <c:pt idx="57">
                  <c:v>20</c:v>
                </c:pt>
                <c:pt idx="58">
                  <c:v>20</c:v>
                </c:pt>
                <c:pt idx="59">
                  <c:v>20</c:v>
                </c:pt>
                <c:pt idx="60">
                  <c:v>20</c:v>
                </c:pt>
                <c:pt idx="61">
                  <c:v>20</c:v>
                </c:pt>
                <c:pt idx="62">
                  <c:v>21</c:v>
                </c:pt>
                <c:pt idx="63">
                  <c:v>21</c:v>
                </c:pt>
                <c:pt idx="64">
                  <c:v>21</c:v>
                </c:pt>
                <c:pt idx="65">
                  <c:v>21</c:v>
                </c:pt>
                <c:pt idx="66">
                  <c:v>21</c:v>
                </c:pt>
                <c:pt idx="67">
                  <c:v>21</c:v>
                </c:pt>
                <c:pt idx="68">
                  <c:v>21</c:v>
                </c:pt>
                <c:pt idx="69">
                  <c:v>21</c:v>
                </c:pt>
                <c:pt idx="70">
                  <c:v>21</c:v>
                </c:pt>
                <c:pt idx="71">
                  <c:v>21</c:v>
                </c:pt>
                <c:pt idx="72">
                  <c:v>21</c:v>
                </c:pt>
                <c:pt idx="73">
                  <c:v>21</c:v>
                </c:pt>
                <c:pt idx="74">
                  <c:v>21</c:v>
                </c:pt>
                <c:pt idx="75">
                  <c:v>21</c:v>
                </c:pt>
                <c:pt idx="76">
                  <c:v>21</c:v>
                </c:pt>
                <c:pt idx="77">
                  <c:v>21</c:v>
                </c:pt>
                <c:pt idx="78">
                  <c:v>21</c:v>
                </c:pt>
                <c:pt idx="79">
                  <c:v>21</c:v>
                </c:pt>
                <c:pt idx="80">
                  <c:v>21</c:v>
                </c:pt>
                <c:pt idx="81">
                  <c:v>21</c:v>
                </c:pt>
                <c:pt idx="82">
                  <c:v>21</c:v>
                </c:pt>
                <c:pt idx="83">
                  <c:v>21</c:v>
                </c:pt>
                <c:pt idx="84">
                  <c:v>21</c:v>
                </c:pt>
                <c:pt idx="85">
                  <c:v>21</c:v>
                </c:pt>
                <c:pt idx="86">
                  <c:v>21</c:v>
                </c:pt>
                <c:pt idx="87">
                  <c:v>21</c:v>
                </c:pt>
                <c:pt idx="88">
                  <c:v>21</c:v>
                </c:pt>
                <c:pt idx="89">
                  <c:v>21</c:v>
                </c:pt>
                <c:pt idx="90">
                  <c:v>21</c:v>
                </c:pt>
                <c:pt idx="91">
                  <c:v>21</c:v>
                </c:pt>
                <c:pt idx="92">
                  <c:v>21</c:v>
                </c:pt>
                <c:pt idx="93">
                  <c:v>21</c:v>
                </c:pt>
                <c:pt idx="94">
                  <c:v>21</c:v>
                </c:pt>
                <c:pt idx="95">
                  <c:v>21</c:v>
                </c:pt>
                <c:pt idx="96">
                  <c:v>21</c:v>
                </c:pt>
                <c:pt idx="97">
                  <c:v>21</c:v>
                </c:pt>
                <c:pt idx="98">
                  <c:v>21</c:v>
                </c:pt>
                <c:pt idx="99">
                  <c:v>21</c:v>
                </c:pt>
                <c:pt idx="100">
                  <c:v>21</c:v>
                </c:pt>
                <c:pt idx="101">
                  <c:v>21</c:v>
                </c:pt>
                <c:pt idx="102">
                  <c:v>21</c:v>
                </c:pt>
                <c:pt idx="103">
                  <c:v>21</c:v>
                </c:pt>
                <c:pt idx="104">
                  <c:v>21</c:v>
                </c:pt>
                <c:pt idx="105">
                  <c:v>21</c:v>
                </c:pt>
                <c:pt idx="106">
                  <c:v>21</c:v>
                </c:pt>
                <c:pt idx="107">
                  <c:v>21</c:v>
                </c:pt>
                <c:pt idx="108">
                  <c:v>21</c:v>
                </c:pt>
                <c:pt idx="109">
                  <c:v>21</c:v>
                </c:pt>
                <c:pt idx="110">
                  <c:v>21</c:v>
                </c:pt>
                <c:pt idx="111">
                  <c:v>21</c:v>
                </c:pt>
                <c:pt idx="112">
                  <c:v>21</c:v>
                </c:pt>
                <c:pt idx="113">
                  <c:v>21</c:v>
                </c:pt>
                <c:pt idx="114">
                  <c:v>21</c:v>
                </c:pt>
                <c:pt idx="115">
                  <c:v>21</c:v>
                </c:pt>
              </c:numCache>
            </c:numRef>
          </c:yVal>
          <c:smooth val="0"/>
          <c:extLst xmlns:c16r2="http://schemas.microsoft.com/office/drawing/2015/06/chart">
            <c:ext xmlns:c16="http://schemas.microsoft.com/office/drawing/2014/chart" uri="{C3380CC4-5D6E-409C-BE32-E72D297353CC}">
              <c16:uniqueId val="{00000001-6D34-48EA-B56E-0AB64475F26E}"/>
            </c:ext>
          </c:extLst>
        </c:ser>
        <c:dLbls>
          <c:showLegendKey val="0"/>
          <c:showVal val="0"/>
          <c:showCatName val="0"/>
          <c:showSerName val="0"/>
          <c:showPercent val="0"/>
          <c:showBubbleSize val="0"/>
        </c:dLbls>
        <c:axId val="681515264"/>
        <c:axId val="681517056"/>
      </c:scatterChart>
      <c:valAx>
        <c:axId val="681179392"/>
        <c:scaling>
          <c:orientation val="minMax"/>
          <c:max val="2020"/>
          <c:min val="1900"/>
        </c:scaling>
        <c:delete val="0"/>
        <c:axPos val="b"/>
        <c:title>
          <c:tx>
            <c:rich>
              <a:bodyPr/>
              <a:lstStyle/>
              <a:p>
                <a:pPr>
                  <a:defRPr/>
                </a:pPr>
                <a:r>
                  <a:rPr lang="ru-RU"/>
                  <a:t>Годы</a:t>
                </a:r>
              </a:p>
            </c:rich>
          </c:tx>
          <c:layout>
            <c:manualLayout>
              <c:xMode val="edge"/>
              <c:yMode val="edge"/>
              <c:x val="0.47606828437998383"/>
              <c:y val="0.8917870502407671"/>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681513344"/>
        <c:crosses val="autoZero"/>
        <c:crossBetween val="midCat"/>
        <c:majorUnit val="5"/>
        <c:minorUnit val="5"/>
      </c:valAx>
      <c:valAx>
        <c:axId val="681513344"/>
        <c:scaling>
          <c:orientation val="minMax"/>
          <c:max val="2"/>
        </c:scaling>
        <c:delete val="0"/>
        <c:axPos val="l"/>
        <c:majorGridlines>
          <c:spPr>
            <a:ln w="3175">
              <a:solidFill>
                <a:srgbClr val="000000"/>
              </a:solidFill>
              <a:prstDash val="solid"/>
            </a:ln>
          </c:spPr>
        </c:majorGridlines>
        <c:title>
          <c:tx>
            <c:rich>
              <a:bodyPr/>
              <a:lstStyle/>
              <a:p>
                <a:pPr>
                  <a:defRPr/>
                </a:pPr>
                <a:r>
                  <a:rPr lang="ru-RU"/>
                  <a:t>Индексы</a:t>
                </a:r>
              </a:p>
            </c:rich>
          </c:tx>
          <c:layout>
            <c:manualLayout>
              <c:xMode val="edge"/>
              <c:yMode val="edge"/>
              <c:x val="6.0167206619608513E-3"/>
              <c:y val="0.248082336164672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681179392"/>
        <c:crosses val="autoZero"/>
        <c:crossBetween val="midCat"/>
        <c:majorUnit val="1"/>
      </c:valAx>
      <c:valAx>
        <c:axId val="681515264"/>
        <c:scaling>
          <c:orientation val="minMax"/>
        </c:scaling>
        <c:delete val="1"/>
        <c:axPos val="b"/>
        <c:numFmt formatCode="General" sourceLinked="1"/>
        <c:majorTickMark val="out"/>
        <c:minorTickMark val="none"/>
        <c:tickLblPos val="nextTo"/>
        <c:crossAx val="681517056"/>
        <c:crosses val="autoZero"/>
        <c:crossBetween val="midCat"/>
      </c:valAx>
      <c:valAx>
        <c:axId val="681517056"/>
        <c:scaling>
          <c:orientation val="minMax"/>
        </c:scaling>
        <c:delete val="0"/>
        <c:axPos val="r"/>
        <c:title>
          <c:tx>
            <c:rich>
              <a:bodyPr rot="-5400000" vert="horz"/>
              <a:lstStyle/>
              <a:p>
                <a:pPr>
                  <a:defRPr/>
                </a:pPr>
                <a:r>
                  <a:rPr lang="ru-RU"/>
                  <a:t>Количество</a:t>
                </a:r>
                <a:r>
                  <a:rPr lang="ru-RU" baseline="0"/>
                  <a:t> деревьев, шт</a:t>
                </a:r>
                <a:endParaRPr lang="ru-RU"/>
              </a:p>
            </c:rich>
          </c:tx>
          <c:overlay val="0"/>
        </c:title>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681515264"/>
        <c:crosses val="max"/>
        <c:crossBetween val="midCat"/>
      </c:valAx>
      <c:spPr>
        <a:solidFill>
          <a:schemeClr val="bg1">
            <a:lumMod val="95000"/>
            <a:alpha val="24000"/>
          </a:schemeClr>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045733599539374E-2"/>
          <c:y val="3.1552594387240056E-2"/>
          <c:w val="0.84852921162632444"/>
          <c:h val="0.66381990712699379"/>
        </c:manualLayout>
      </c:layout>
      <c:scatterChart>
        <c:scatterStyle val="lineMarker"/>
        <c:varyColors val="0"/>
        <c:ser>
          <c:idx val="1"/>
          <c:order val="1"/>
          <c:tx>
            <c:strRef>
              <c:f>'SKL-4K'!$G$1</c:f>
              <c:strCache>
                <c:ptCount val="1"/>
                <c:pt idx="0">
                  <c:v>res</c:v>
                </c:pt>
              </c:strCache>
            </c:strRef>
          </c:tx>
          <c:spPr>
            <a:ln w="12700">
              <a:solidFill>
                <a:srgbClr val="000000"/>
              </a:solidFill>
              <a:prstDash val="solid"/>
            </a:ln>
          </c:spPr>
          <c:marker>
            <c:symbol val="none"/>
          </c:marker>
          <c:xVal>
            <c:numRef>
              <c:f>'SKL-4K'!$A$2:$A$149</c:f>
              <c:numCache>
                <c:formatCode>General</c:formatCode>
                <c:ptCount val="148"/>
                <c:pt idx="0">
                  <c:v>1870</c:v>
                </c:pt>
                <c:pt idx="1">
                  <c:v>1871</c:v>
                </c:pt>
                <c:pt idx="2">
                  <c:v>1872</c:v>
                </c:pt>
                <c:pt idx="3">
                  <c:v>1873</c:v>
                </c:pt>
                <c:pt idx="4">
                  <c:v>1874</c:v>
                </c:pt>
                <c:pt idx="5">
                  <c:v>1875</c:v>
                </c:pt>
                <c:pt idx="6">
                  <c:v>1876</c:v>
                </c:pt>
                <c:pt idx="7">
                  <c:v>1877</c:v>
                </c:pt>
                <c:pt idx="8">
                  <c:v>1878</c:v>
                </c:pt>
                <c:pt idx="9">
                  <c:v>1879</c:v>
                </c:pt>
                <c:pt idx="10">
                  <c:v>1880</c:v>
                </c:pt>
                <c:pt idx="11">
                  <c:v>1881</c:v>
                </c:pt>
                <c:pt idx="12">
                  <c:v>1882</c:v>
                </c:pt>
                <c:pt idx="13">
                  <c:v>1883</c:v>
                </c:pt>
                <c:pt idx="14">
                  <c:v>1884</c:v>
                </c:pt>
                <c:pt idx="15">
                  <c:v>1885</c:v>
                </c:pt>
                <c:pt idx="16">
                  <c:v>1886</c:v>
                </c:pt>
                <c:pt idx="17">
                  <c:v>1887</c:v>
                </c:pt>
                <c:pt idx="18">
                  <c:v>1888</c:v>
                </c:pt>
                <c:pt idx="19">
                  <c:v>1889</c:v>
                </c:pt>
                <c:pt idx="20">
                  <c:v>1890</c:v>
                </c:pt>
                <c:pt idx="21">
                  <c:v>1891</c:v>
                </c:pt>
                <c:pt idx="22">
                  <c:v>1892</c:v>
                </c:pt>
                <c:pt idx="23">
                  <c:v>1893</c:v>
                </c:pt>
                <c:pt idx="24">
                  <c:v>1894</c:v>
                </c:pt>
                <c:pt idx="25">
                  <c:v>1895</c:v>
                </c:pt>
                <c:pt idx="26">
                  <c:v>1896</c:v>
                </c:pt>
                <c:pt idx="27">
                  <c:v>1897</c:v>
                </c:pt>
                <c:pt idx="28">
                  <c:v>1898</c:v>
                </c:pt>
                <c:pt idx="29">
                  <c:v>1899</c:v>
                </c:pt>
                <c:pt idx="30">
                  <c:v>1900</c:v>
                </c:pt>
                <c:pt idx="31">
                  <c:v>1901</c:v>
                </c:pt>
                <c:pt idx="32">
                  <c:v>1902</c:v>
                </c:pt>
                <c:pt idx="33">
                  <c:v>1903</c:v>
                </c:pt>
                <c:pt idx="34">
                  <c:v>1904</c:v>
                </c:pt>
                <c:pt idx="35">
                  <c:v>1905</c:v>
                </c:pt>
                <c:pt idx="36">
                  <c:v>1906</c:v>
                </c:pt>
                <c:pt idx="37">
                  <c:v>1907</c:v>
                </c:pt>
                <c:pt idx="38">
                  <c:v>1908</c:v>
                </c:pt>
                <c:pt idx="39">
                  <c:v>1909</c:v>
                </c:pt>
                <c:pt idx="40">
                  <c:v>1910</c:v>
                </c:pt>
                <c:pt idx="41">
                  <c:v>1911</c:v>
                </c:pt>
                <c:pt idx="42">
                  <c:v>1912</c:v>
                </c:pt>
                <c:pt idx="43">
                  <c:v>1913</c:v>
                </c:pt>
                <c:pt idx="44">
                  <c:v>1914</c:v>
                </c:pt>
                <c:pt idx="45">
                  <c:v>1915</c:v>
                </c:pt>
                <c:pt idx="46">
                  <c:v>1916</c:v>
                </c:pt>
                <c:pt idx="47">
                  <c:v>1917</c:v>
                </c:pt>
                <c:pt idx="48">
                  <c:v>1918</c:v>
                </c:pt>
                <c:pt idx="49">
                  <c:v>1919</c:v>
                </c:pt>
                <c:pt idx="50">
                  <c:v>1920</c:v>
                </c:pt>
                <c:pt idx="51">
                  <c:v>1921</c:v>
                </c:pt>
                <c:pt idx="52">
                  <c:v>1922</c:v>
                </c:pt>
                <c:pt idx="53">
                  <c:v>1923</c:v>
                </c:pt>
                <c:pt idx="54">
                  <c:v>1924</c:v>
                </c:pt>
                <c:pt idx="55">
                  <c:v>1925</c:v>
                </c:pt>
                <c:pt idx="56">
                  <c:v>1926</c:v>
                </c:pt>
                <c:pt idx="57">
                  <c:v>1927</c:v>
                </c:pt>
                <c:pt idx="58">
                  <c:v>1928</c:v>
                </c:pt>
                <c:pt idx="59">
                  <c:v>1929</c:v>
                </c:pt>
                <c:pt idx="60">
                  <c:v>1930</c:v>
                </c:pt>
                <c:pt idx="61">
                  <c:v>1931</c:v>
                </c:pt>
                <c:pt idx="62">
                  <c:v>1932</c:v>
                </c:pt>
                <c:pt idx="63">
                  <c:v>1933</c:v>
                </c:pt>
                <c:pt idx="64">
                  <c:v>1934</c:v>
                </c:pt>
                <c:pt idx="65">
                  <c:v>1935</c:v>
                </c:pt>
                <c:pt idx="66">
                  <c:v>1936</c:v>
                </c:pt>
                <c:pt idx="67">
                  <c:v>1937</c:v>
                </c:pt>
                <c:pt idx="68">
                  <c:v>1938</c:v>
                </c:pt>
                <c:pt idx="69">
                  <c:v>1939</c:v>
                </c:pt>
                <c:pt idx="70">
                  <c:v>1940</c:v>
                </c:pt>
                <c:pt idx="71">
                  <c:v>1941</c:v>
                </c:pt>
                <c:pt idx="72">
                  <c:v>1942</c:v>
                </c:pt>
                <c:pt idx="73">
                  <c:v>1943</c:v>
                </c:pt>
                <c:pt idx="74">
                  <c:v>1944</c:v>
                </c:pt>
                <c:pt idx="75">
                  <c:v>1945</c:v>
                </c:pt>
                <c:pt idx="76">
                  <c:v>1946</c:v>
                </c:pt>
                <c:pt idx="77">
                  <c:v>1947</c:v>
                </c:pt>
                <c:pt idx="78">
                  <c:v>1948</c:v>
                </c:pt>
                <c:pt idx="79">
                  <c:v>1949</c:v>
                </c:pt>
                <c:pt idx="80">
                  <c:v>1950</c:v>
                </c:pt>
                <c:pt idx="81">
                  <c:v>1951</c:v>
                </c:pt>
                <c:pt idx="82">
                  <c:v>1952</c:v>
                </c:pt>
                <c:pt idx="83">
                  <c:v>1953</c:v>
                </c:pt>
                <c:pt idx="84">
                  <c:v>1954</c:v>
                </c:pt>
                <c:pt idx="85">
                  <c:v>1955</c:v>
                </c:pt>
                <c:pt idx="86">
                  <c:v>1956</c:v>
                </c:pt>
                <c:pt idx="87">
                  <c:v>1957</c:v>
                </c:pt>
                <c:pt idx="88">
                  <c:v>1958</c:v>
                </c:pt>
                <c:pt idx="89">
                  <c:v>1959</c:v>
                </c:pt>
                <c:pt idx="90">
                  <c:v>1960</c:v>
                </c:pt>
                <c:pt idx="91">
                  <c:v>1961</c:v>
                </c:pt>
                <c:pt idx="92">
                  <c:v>1962</c:v>
                </c:pt>
                <c:pt idx="93">
                  <c:v>1963</c:v>
                </c:pt>
                <c:pt idx="94">
                  <c:v>1964</c:v>
                </c:pt>
                <c:pt idx="95">
                  <c:v>1965</c:v>
                </c:pt>
                <c:pt idx="96">
                  <c:v>1966</c:v>
                </c:pt>
                <c:pt idx="97">
                  <c:v>1967</c:v>
                </c:pt>
                <c:pt idx="98">
                  <c:v>1968</c:v>
                </c:pt>
                <c:pt idx="99">
                  <c:v>1969</c:v>
                </c:pt>
                <c:pt idx="100">
                  <c:v>1970</c:v>
                </c:pt>
                <c:pt idx="101">
                  <c:v>1971</c:v>
                </c:pt>
                <c:pt idx="102">
                  <c:v>1972</c:v>
                </c:pt>
                <c:pt idx="103">
                  <c:v>1973</c:v>
                </c:pt>
                <c:pt idx="104">
                  <c:v>1974</c:v>
                </c:pt>
                <c:pt idx="105">
                  <c:v>1975</c:v>
                </c:pt>
                <c:pt idx="106">
                  <c:v>1976</c:v>
                </c:pt>
                <c:pt idx="107">
                  <c:v>1977</c:v>
                </c:pt>
                <c:pt idx="108">
                  <c:v>1978</c:v>
                </c:pt>
                <c:pt idx="109">
                  <c:v>1979</c:v>
                </c:pt>
                <c:pt idx="110">
                  <c:v>1980</c:v>
                </c:pt>
                <c:pt idx="111">
                  <c:v>1981</c:v>
                </c:pt>
                <c:pt idx="112">
                  <c:v>1982</c:v>
                </c:pt>
                <c:pt idx="113">
                  <c:v>1983</c:v>
                </c:pt>
                <c:pt idx="114">
                  <c:v>1984</c:v>
                </c:pt>
                <c:pt idx="115">
                  <c:v>1985</c:v>
                </c:pt>
                <c:pt idx="116">
                  <c:v>1986</c:v>
                </c:pt>
                <c:pt idx="117">
                  <c:v>1987</c:v>
                </c:pt>
                <c:pt idx="118">
                  <c:v>1988</c:v>
                </c:pt>
                <c:pt idx="119">
                  <c:v>1989</c:v>
                </c:pt>
                <c:pt idx="120">
                  <c:v>1990</c:v>
                </c:pt>
                <c:pt idx="121">
                  <c:v>1991</c:v>
                </c:pt>
                <c:pt idx="122">
                  <c:v>1992</c:v>
                </c:pt>
                <c:pt idx="123">
                  <c:v>1993</c:v>
                </c:pt>
                <c:pt idx="124">
                  <c:v>1994</c:v>
                </c:pt>
                <c:pt idx="125">
                  <c:v>1995</c:v>
                </c:pt>
                <c:pt idx="126">
                  <c:v>1996</c:v>
                </c:pt>
                <c:pt idx="127">
                  <c:v>1997</c:v>
                </c:pt>
                <c:pt idx="128">
                  <c:v>1998</c:v>
                </c:pt>
                <c:pt idx="129">
                  <c:v>1999</c:v>
                </c:pt>
                <c:pt idx="130">
                  <c:v>2000</c:v>
                </c:pt>
                <c:pt idx="131">
                  <c:v>2001</c:v>
                </c:pt>
                <c:pt idx="132">
                  <c:v>2002</c:v>
                </c:pt>
                <c:pt idx="133">
                  <c:v>2003</c:v>
                </c:pt>
                <c:pt idx="134">
                  <c:v>2004</c:v>
                </c:pt>
                <c:pt idx="135">
                  <c:v>2005</c:v>
                </c:pt>
                <c:pt idx="136">
                  <c:v>2006</c:v>
                </c:pt>
                <c:pt idx="137">
                  <c:v>2007</c:v>
                </c:pt>
                <c:pt idx="138">
                  <c:v>2008</c:v>
                </c:pt>
                <c:pt idx="139">
                  <c:v>2009</c:v>
                </c:pt>
                <c:pt idx="140">
                  <c:v>2010</c:v>
                </c:pt>
                <c:pt idx="141">
                  <c:v>2011</c:v>
                </c:pt>
                <c:pt idx="142">
                  <c:v>2012</c:v>
                </c:pt>
                <c:pt idx="143">
                  <c:v>2013</c:v>
                </c:pt>
                <c:pt idx="144">
                  <c:v>2014</c:v>
                </c:pt>
                <c:pt idx="145">
                  <c:v>2015</c:v>
                </c:pt>
                <c:pt idx="146">
                  <c:v>2016</c:v>
                </c:pt>
                <c:pt idx="147">
                  <c:v>2017</c:v>
                </c:pt>
              </c:numCache>
            </c:numRef>
          </c:xVal>
          <c:yVal>
            <c:numRef>
              <c:f>'SKL-4K'!$G$2:$G$149</c:f>
              <c:numCache>
                <c:formatCode>General</c:formatCode>
                <c:ptCount val="148"/>
                <c:pt idx="0">
                  <c:v>0.68500000000000005</c:v>
                </c:pt>
                <c:pt idx="1">
                  <c:v>1.4970000000000001</c:v>
                </c:pt>
                <c:pt idx="2">
                  <c:v>1.0409999999999999</c:v>
                </c:pt>
                <c:pt idx="3">
                  <c:v>0.79500000000000004</c:v>
                </c:pt>
                <c:pt idx="4">
                  <c:v>1.637</c:v>
                </c:pt>
                <c:pt idx="5">
                  <c:v>0.74399999999999999</c:v>
                </c:pt>
                <c:pt idx="6">
                  <c:v>1.1140000000000001</c:v>
                </c:pt>
                <c:pt idx="7">
                  <c:v>0.71599999999999997</c:v>
                </c:pt>
                <c:pt idx="8">
                  <c:v>0.872</c:v>
                </c:pt>
                <c:pt idx="9">
                  <c:v>0.86299999999999999</c:v>
                </c:pt>
                <c:pt idx="10">
                  <c:v>1.2869999999999999</c:v>
                </c:pt>
                <c:pt idx="11">
                  <c:v>0.86699999999999999</c:v>
                </c:pt>
                <c:pt idx="12">
                  <c:v>1.0920000000000001</c:v>
                </c:pt>
                <c:pt idx="13">
                  <c:v>1.0780000000000001</c:v>
                </c:pt>
                <c:pt idx="14">
                  <c:v>0.75800000000000001</c:v>
                </c:pt>
                <c:pt idx="15">
                  <c:v>0.67900000000000005</c:v>
                </c:pt>
                <c:pt idx="16">
                  <c:v>1.1910000000000001</c:v>
                </c:pt>
                <c:pt idx="17">
                  <c:v>1.244</c:v>
                </c:pt>
                <c:pt idx="18">
                  <c:v>0.88400000000000001</c:v>
                </c:pt>
                <c:pt idx="19">
                  <c:v>1.1459999999999999</c:v>
                </c:pt>
                <c:pt idx="20">
                  <c:v>1.0980000000000001</c:v>
                </c:pt>
                <c:pt idx="21">
                  <c:v>0.96399999999999997</c:v>
                </c:pt>
                <c:pt idx="22">
                  <c:v>0.96299999999999997</c:v>
                </c:pt>
                <c:pt idx="23">
                  <c:v>0.91500000000000004</c:v>
                </c:pt>
                <c:pt idx="24">
                  <c:v>1.3360000000000001</c:v>
                </c:pt>
                <c:pt idx="25">
                  <c:v>1.05</c:v>
                </c:pt>
                <c:pt idx="26">
                  <c:v>0.66900000000000004</c:v>
                </c:pt>
                <c:pt idx="27">
                  <c:v>1.353</c:v>
                </c:pt>
                <c:pt idx="28">
                  <c:v>1.05</c:v>
                </c:pt>
                <c:pt idx="29">
                  <c:v>1.1839999999999999</c:v>
                </c:pt>
                <c:pt idx="30">
                  <c:v>0.88700000000000001</c:v>
                </c:pt>
                <c:pt idx="31">
                  <c:v>0.83399999999999996</c:v>
                </c:pt>
                <c:pt idx="32">
                  <c:v>1.3360000000000001</c:v>
                </c:pt>
                <c:pt idx="33">
                  <c:v>0.6</c:v>
                </c:pt>
                <c:pt idx="34">
                  <c:v>0.45100000000000001</c:v>
                </c:pt>
                <c:pt idx="35">
                  <c:v>1.002</c:v>
                </c:pt>
                <c:pt idx="36">
                  <c:v>0.98</c:v>
                </c:pt>
                <c:pt idx="37">
                  <c:v>1.0980000000000001</c:v>
                </c:pt>
                <c:pt idx="38">
                  <c:v>1.3109999999999999</c:v>
                </c:pt>
                <c:pt idx="39">
                  <c:v>1.018</c:v>
                </c:pt>
                <c:pt idx="40">
                  <c:v>0.80800000000000005</c:v>
                </c:pt>
                <c:pt idx="41">
                  <c:v>0.92700000000000005</c:v>
                </c:pt>
                <c:pt idx="42">
                  <c:v>1.1040000000000001</c:v>
                </c:pt>
                <c:pt idx="43">
                  <c:v>1.208</c:v>
                </c:pt>
                <c:pt idx="44">
                  <c:v>1.046</c:v>
                </c:pt>
                <c:pt idx="45">
                  <c:v>0.82199999999999995</c:v>
                </c:pt>
                <c:pt idx="46">
                  <c:v>0.99099999999999999</c:v>
                </c:pt>
                <c:pt idx="47">
                  <c:v>0.86599999999999999</c:v>
                </c:pt>
                <c:pt idx="48">
                  <c:v>0.95499999999999996</c:v>
                </c:pt>
                <c:pt idx="49">
                  <c:v>0.91900000000000004</c:v>
                </c:pt>
                <c:pt idx="50">
                  <c:v>0.80400000000000005</c:v>
                </c:pt>
                <c:pt idx="51">
                  <c:v>0.64</c:v>
                </c:pt>
                <c:pt idx="52">
                  <c:v>0.71899999999999997</c:v>
                </c:pt>
                <c:pt idx="53">
                  <c:v>0.95</c:v>
                </c:pt>
                <c:pt idx="54">
                  <c:v>0.89400000000000002</c:v>
                </c:pt>
                <c:pt idx="55">
                  <c:v>0.92200000000000004</c:v>
                </c:pt>
                <c:pt idx="56">
                  <c:v>1.1060000000000001</c:v>
                </c:pt>
                <c:pt idx="57">
                  <c:v>0.99399999999999999</c:v>
                </c:pt>
                <c:pt idx="58">
                  <c:v>1.246</c:v>
                </c:pt>
                <c:pt idx="59">
                  <c:v>1.0149999999999999</c:v>
                </c:pt>
                <c:pt idx="60">
                  <c:v>1.0580000000000001</c:v>
                </c:pt>
                <c:pt idx="61">
                  <c:v>0.89700000000000002</c:v>
                </c:pt>
                <c:pt idx="62">
                  <c:v>1.0740000000000001</c:v>
                </c:pt>
                <c:pt idx="63">
                  <c:v>1.175</c:v>
                </c:pt>
                <c:pt idx="64">
                  <c:v>1.0069999999999999</c:v>
                </c:pt>
                <c:pt idx="65">
                  <c:v>1.0149999999999999</c:v>
                </c:pt>
                <c:pt idx="66">
                  <c:v>0.92900000000000005</c:v>
                </c:pt>
                <c:pt idx="67">
                  <c:v>1.075</c:v>
                </c:pt>
                <c:pt idx="68">
                  <c:v>1.17</c:v>
                </c:pt>
                <c:pt idx="69">
                  <c:v>1.1830000000000001</c:v>
                </c:pt>
                <c:pt idx="70">
                  <c:v>0.88</c:v>
                </c:pt>
                <c:pt idx="71">
                  <c:v>0.94799999999999995</c:v>
                </c:pt>
                <c:pt idx="72">
                  <c:v>0.86</c:v>
                </c:pt>
                <c:pt idx="73">
                  <c:v>0.91100000000000003</c:v>
                </c:pt>
                <c:pt idx="74">
                  <c:v>1.052</c:v>
                </c:pt>
                <c:pt idx="75">
                  <c:v>1.02</c:v>
                </c:pt>
                <c:pt idx="76">
                  <c:v>1.1499999999999999</c:v>
                </c:pt>
                <c:pt idx="77">
                  <c:v>1.254</c:v>
                </c:pt>
                <c:pt idx="78">
                  <c:v>1.2609999999999999</c:v>
                </c:pt>
                <c:pt idx="79">
                  <c:v>0.999</c:v>
                </c:pt>
                <c:pt idx="80">
                  <c:v>0.84099999999999997</c:v>
                </c:pt>
                <c:pt idx="81">
                  <c:v>0.71099999999999997</c:v>
                </c:pt>
                <c:pt idx="82">
                  <c:v>0.495</c:v>
                </c:pt>
                <c:pt idx="83">
                  <c:v>0.93</c:v>
                </c:pt>
                <c:pt idx="84">
                  <c:v>1.1080000000000001</c:v>
                </c:pt>
                <c:pt idx="85">
                  <c:v>0.89200000000000002</c:v>
                </c:pt>
                <c:pt idx="86">
                  <c:v>0.74</c:v>
                </c:pt>
                <c:pt idx="87">
                  <c:v>0.90700000000000003</c:v>
                </c:pt>
                <c:pt idx="88">
                  <c:v>1.052</c:v>
                </c:pt>
                <c:pt idx="89">
                  <c:v>1.4039999999999999</c:v>
                </c:pt>
                <c:pt idx="90">
                  <c:v>1.0720000000000001</c:v>
                </c:pt>
                <c:pt idx="91">
                  <c:v>1.008</c:v>
                </c:pt>
                <c:pt idx="92">
                  <c:v>0.79300000000000004</c:v>
                </c:pt>
                <c:pt idx="93">
                  <c:v>0.73499999999999999</c:v>
                </c:pt>
                <c:pt idx="94">
                  <c:v>1.147</c:v>
                </c:pt>
                <c:pt idx="95">
                  <c:v>1.0169999999999999</c:v>
                </c:pt>
                <c:pt idx="96">
                  <c:v>0.90400000000000003</c:v>
                </c:pt>
                <c:pt idx="97">
                  <c:v>0.873</c:v>
                </c:pt>
                <c:pt idx="98">
                  <c:v>1.5940000000000001</c:v>
                </c:pt>
                <c:pt idx="99">
                  <c:v>0.879</c:v>
                </c:pt>
                <c:pt idx="100">
                  <c:v>1.3440000000000001</c:v>
                </c:pt>
                <c:pt idx="101">
                  <c:v>1.1819999999999999</c:v>
                </c:pt>
                <c:pt idx="102">
                  <c:v>0.98599999999999999</c:v>
                </c:pt>
                <c:pt idx="103">
                  <c:v>0.877</c:v>
                </c:pt>
                <c:pt idx="104">
                  <c:v>0.77200000000000002</c:v>
                </c:pt>
                <c:pt idx="105">
                  <c:v>1.103</c:v>
                </c:pt>
                <c:pt idx="106">
                  <c:v>0.83799999999999997</c:v>
                </c:pt>
                <c:pt idx="107">
                  <c:v>1.0369999999999999</c:v>
                </c:pt>
                <c:pt idx="108">
                  <c:v>1.444</c:v>
                </c:pt>
                <c:pt idx="109">
                  <c:v>0.877</c:v>
                </c:pt>
                <c:pt idx="110">
                  <c:v>0.95699999999999996</c:v>
                </c:pt>
                <c:pt idx="111">
                  <c:v>1.1459999999999999</c:v>
                </c:pt>
                <c:pt idx="112">
                  <c:v>0.81499999999999995</c:v>
                </c:pt>
                <c:pt idx="113">
                  <c:v>1.0740000000000001</c:v>
                </c:pt>
                <c:pt idx="114">
                  <c:v>0.98699999999999999</c:v>
                </c:pt>
                <c:pt idx="115">
                  <c:v>0.98299999999999998</c:v>
                </c:pt>
                <c:pt idx="116">
                  <c:v>1.157</c:v>
                </c:pt>
                <c:pt idx="117">
                  <c:v>0.91800000000000004</c:v>
                </c:pt>
                <c:pt idx="118">
                  <c:v>0.97399999999999998</c:v>
                </c:pt>
                <c:pt idx="119">
                  <c:v>1.1020000000000001</c:v>
                </c:pt>
                <c:pt idx="120">
                  <c:v>0.72499999999999998</c:v>
                </c:pt>
                <c:pt idx="121">
                  <c:v>1.0209999999999999</c:v>
                </c:pt>
                <c:pt idx="122">
                  <c:v>1.052</c:v>
                </c:pt>
                <c:pt idx="123">
                  <c:v>1.319</c:v>
                </c:pt>
                <c:pt idx="124">
                  <c:v>1.0289999999999999</c:v>
                </c:pt>
                <c:pt idx="125">
                  <c:v>1.569</c:v>
                </c:pt>
                <c:pt idx="126">
                  <c:v>0.47799999999999998</c:v>
                </c:pt>
                <c:pt idx="127">
                  <c:v>0.73</c:v>
                </c:pt>
                <c:pt idx="128">
                  <c:v>0.79600000000000004</c:v>
                </c:pt>
                <c:pt idx="129">
                  <c:v>0.96399999999999997</c:v>
                </c:pt>
                <c:pt idx="130">
                  <c:v>0.82799999999999996</c:v>
                </c:pt>
                <c:pt idx="131">
                  <c:v>0.69</c:v>
                </c:pt>
                <c:pt idx="132">
                  <c:v>1.0840000000000001</c:v>
                </c:pt>
                <c:pt idx="133">
                  <c:v>0.90700000000000003</c:v>
                </c:pt>
                <c:pt idx="134">
                  <c:v>0.753</c:v>
                </c:pt>
                <c:pt idx="135">
                  <c:v>1.0369999999999999</c:v>
                </c:pt>
                <c:pt idx="136">
                  <c:v>0.88400000000000001</c:v>
                </c:pt>
                <c:pt idx="137">
                  <c:v>1.1160000000000001</c:v>
                </c:pt>
                <c:pt idx="138">
                  <c:v>0.69499999999999995</c:v>
                </c:pt>
                <c:pt idx="139">
                  <c:v>1.0209999999999999</c:v>
                </c:pt>
                <c:pt idx="140">
                  <c:v>0.97099999999999997</c:v>
                </c:pt>
                <c:pt idx="141">
                  <c:v>0.88600000000000001</c:v>
                </c:pt>
                <c:pt idx="142">
                  <c:v>1.0349999999999999</c:v>
                </c:pt>
                <c:pt idx="143">
                  <c:v>1.161</c:v>
                </c:pt>
                <c:pt idx="144">
                  <c:v>1.593</c:v>
                </c:pt>
                <c:pt idx="145">
                  <c:v>1.1919999999999999</c:v>
                </c:pt>
                <c:pt idx="146">
                  <c:v>1.1619999999999999</c:v>
                </c:pt>
                <c:pt idx="147">
                  <c:v>1.079</c:v>
                </c:pt>
              </c:numCache>
            </c:numRef>
          </c:yVal>
          <c:smooth val="0"/>
          <c:extLst xmlns:c16r2="http://schemas.microsoft.com/office/drawing/2015/06/chart">
            <c:ext xmlns:c16="http://schemas.microsoft.com/office/drawing/2014/chart" uri="{C3380CC4-5D6E-409C-BE32-E72D297353CC}">
              <c16:uniqueId val="{00000000-9B26-4A77-8DB3-D3F4A32AFA43}"/>
            </c:ext>
          </c:extLst>
        </c:ser>
        <c:dLbls>
          <c:showLegendKey val="0"/>
          <c:showVal val="0"/>
          <c:showCatName val="0"/>
          <c:showSerName val="0"/>
          <c:showPercent val="0"/>
          <c:showBubbleSize val="0"/>
        </c:dLbls>
        <c:axId val="681552896"/>
        <c:axId val="681555072"/>
      </c:scatterChart>
      <c:scatterChart>
        <c:scatterStyle val="lineMarker"/>
        <c:varyColors val="0"/>
        <c:ser>
          <c:idx val="0"/>
          <c:order val="0"/>
          <c:tx>
            <c:strRef>
              <c:f>'SKL-4K'!$B$1</c:f>
              <c:strCache>
                <c:ptCount val="1"/>
                <c:pt idx="0">
                  <c:v>N trees</c:v>
                </c:pt>
              </c:strCache>
            </c:strRef>
          </c:tx>
          <c:spPr>
            <a:ln w="19050">
              <a:solidFill>
                <a:srgbClr val="C00000"/>
              </a:solidFill>
              <a:prstDash val="sysDash"/>
            </a:ln>
          </c:spPr>
          <c:marker>
            <c:symbol val="none"/>
          </c:marker>
          <c:xVal>
            <c:numRef>
              <c:f>'SKL-4K'!$A$2:$A$149</c:f>
              <c:numCache>
                <c:formatCode>General</c:formatCode>
                <c:ptCount val="148"/>
                <c:pt idx="0">
                  <c:v>1870</c:v>
                </c:pt>
                <c:pt idx="1">
                  <c:v>1871</c:v>
                </c:pt>
                <c:pt idx="2">
                  <c:v>1872</c:v>
                </c:pt>
                <c:pt idx="3">
                  <c:v>1873</c:v>
                </c:pt>
                <c:pt idx="4">
                  <c:v>1874</c:v>
                </c:pt>
                <c:pt idx="5">
                  <c:v>1875</c:v>
                </c:pt>
                <c:pt idx="6">
                  <c:v>1876</c:v>
                </c:pt>
                <c:pt idx="7">
                  <c:v>1877</c:v>
                </c:pt>
                <c:pt idx="8">
                  <c:v>1878</c:v>
                </c:pt>
                <c:pt idx="9">
                  <c:v>1879</c:v>
                </c:pt>
                <c:pt idx="10">
                  <c:v>1880</c:v>
                </c:pt>
                <c:pt idx="11">
                  <c:v>1881</c:v>
                </c:pt>
                <c:pt idx="12">
                  <c:v>1882</c:v>
                </c:pt>
                <c:pt idx="13">
                  <c:v>1883</c:v>
                </c:pt>
                <c:pt idx="14">
                  <c:v>1884</c:v>
                </c:pt>
                <c:pt idx="15">
                  <c:v>1885</c:v>
                </c:pt>
                <c:pt idx="16">
                  <c:v>1886</c:v>
                </c:pt>
                <c:pt idx="17">
                  <c:v>1887</c:v>
                </c:pt>
                <c:pt idx="18">
                  <c:v>1888</c:v>
                </c:pt>
                <c:pt idx="19">
                  <c:v>1889</c:v>
                </c:pt>
                <c:pt idx="20">
                  <c:v>1890</c:v>
                </c:pt>
                <c:pt idx="21">
                  <c:v>1891</c:v>
                </c:pt>
                <c:pt idx="22">
                  <c:v>1892</c:v>
                </c:pt>
                <c:pt idx="23">
                  <c:v>1893</c:v>
                </c:pt>
                <c:pt idx="24">
                  <c:v>1894</c:v>
                </c:pt>
                <c:pt idx="25">
                  <c:v>1895</c:v>
                </c:pt>
                <c:pt idx="26">
                  <c:v>1896</c:v>
                </c:pt>
                <c:pt idx="27">
                  <c:v>1897</c:v>
                </c:pt>
                <c:pt idx="28">
                  <c:v>1898</c:v>
                </c:pt>
                <c:pt idx="29">
                  <c:v>1899</c:v>
                </c:pt>
                <c:pt idx="30">
                  <c:v>1900</c:v>
                </c:pt>
                <c:pt idx="31">
                  <c:v>1901</c:v>
                </c:pt>
                <c:pt idx="32">
                  <c:v>1902</c:v>
                </c:pt>
                <c:pt idx="33">
                  <c:v>1903</c:v>
                </c:pt>
                <c:pt idx="34">
                  <c:v>1904</c:v>
                </c:pt>
                <c:pt idx="35">
                  <c:v>1905</c:v>
                </c:pt>
                <c:pt idx="36">
                  <c:v>1906</c:v>
                </c:pt>
                <c:pt idx="37">
                  <c:v>1907</c:v>
                </c:pt>
                <c:pt idx="38">
                  <c:v>1908</c:v>
                </c:pt>
                <c:pt idx="39">
                  <c:v>1909</c:v>
                </c:pt>
                <c:pt idx="40">
                  <c:v>1910</c:v>
                </c:pt>
                <c:pt idx="41">
                  <c:v>1911</c:v>
                </c:pt>
                <c:pt idx="42">
                  <c:v>1912</c:v>
                </c:pt>
                <c:pt idx="43">
                  <c:v>1913</c:v>
                </c:pt>
                <c:pt idx="44">
                  <c:v>1914</c:v>
                </c:pt>
                <c:pt idx="45">
                  <c:v>1915</c:v>
                </c:pt>
                <c:pt idx="46">
                  <c:v>1916</c:v>
                </c:pt>
                <c:pt idx="47">
                  <c:v>1917</c:v>
                </c:pt>
                <c:pt idx="48">
                  <c:v>1918</c:v>
                </c:pt>
                <c:pt idx="49">
                  <c:v>1919</c:v>
                </c:pt>
                <c:pt idx="50">
                  <c:v>1920</c:v>
                </c:pt>
                <c:pt idx="51">
                  <c:v>1921</c:v>
                </c:pt>
                <c:pt idx="52">
                  <c:v>1922</c:v>
                </c:pt>
                <c:pt idx="53">
                  <c:v>1923</c:v>
                </c:pt>
                <c:pt idx="54">
                  <c:v>1924</c:v>
                </c:pt>
                <c:pt idx="55">
                  <c:v>1925</c:v>
                </c:pt>
                <c:pt idx="56">
                  <c:v>1926</c:v>
                </c:pt>
                <c:pt idx="57">
                  <c:v>1927</c:v>
                </c:pt>
                <c:pt idx="58">
                  <c:v>1928</c:v>
                </c:pt>
                <c:pt idx="59">
                  <c:v>1929</c:v>
                </c:pt>
                <c:pt idx="60">
                  <c:v>1930</c:v>
                </c:pt>
                <c:pt idx="61">
                  <c:v>1931</c:v>
                </c:pt>
                <c:pt idx="62">
                  <c:v>1932</c:v>
                </c:pt>
                <c:pt idx="63">
                  <c:v>1933</c:v>
                </c:pt>
                <c:pt idx="64">
                  <c:v>1934</c:v>
                </c:pt>
                <c:pt idx="65">
                  <c:v>1935</c:v>
                </c:pt>
                <c:pt idx="66">
                  <c:v>1936</c:v>
                </c:pt>
                <c:pt idx="67">
                  <c:v>1937</c:v>
                </c:pt>
                <c:pt idx="68">
                  <c:v>1938</c:v>
                </c:pt>
                <c:pt idx="69">
                  <c:v>1939</c:v>
                </c:pt>
                <c:pt idx="70">
                  <c:v>1940</c:v>
                </c:pt>
                <c:pt idx="71">
                  <c:v>1941</c:v>
                </c:pt>
                <c:pt idx="72">
                  <c:v>1942</c:v>
                </c:pt>
                <c:pt idx="73">
                  <c:v>1943</c:v>
                </c:pt>
                <c:pt idx="74">
                  <c:v>1944</c:v>
                </c:pt>
                <c:pt idx="75">
                  <c:v>1945</c:v>
                </c:pt>
                <c:pt idx="76">
                  <c:v>1946</c:v>
                </c:pt>
                <c:pt idx="77">
                  <c:v>1947</c:v>
                </c:pt>
                <c:pt idx="78">
                  <c:v>1948</c:v>
                </c:pt>
                <c:pt idx="79">
                  <c:v>1949</c:v>
                </c:pt>
                <c:pt idx="80">
                  <c:v>1950</c:v>
                </c:pt>
                <c:pt idx="81">
                  <c:v>1951</c:v>
                </c:pt>
                <c:pt idx="82">
                  <c:v>1952</c:v>
                </c:pt>
                <c:pt idx="83">
                  <c:v>1953</c:v>
                </c:pt>
                <c:pt idx="84">
                  <c:v>1954</c:v>
                </c:pt>
                <c:pt idx="85">
                  <c:v>1955</c:v>
                </c:pt>
                <c:pt idx="86">
                  <c:v>1956</c:v>
                </c:pt>
                <c:pt idx="87">
                  <c:v>1957</c:v>
                </c:pt>
                <c:pt idx="88">
                  <c:v>1958</c:v>
                </c:pt>
                <c:pt idx="89">
                  <c:v>1959</c:v>
                </c:pt>
                <c:pt idx="90">
                  <c:v>1960</c:v>
                </c:pt>
                <c:pt idx="91">
                  <c:v>1961</c:v>
                </c:pt>
                <c:pt idx="92">
                  <c:v>1962</c:v>
                </c:pt>
                <c:pt idx="93">
                  <c:v>1963</c:v>
                </c:pt>
                <c:pt idx="94">
                  <c:v>1964</c:v>
                </c:pt>
                <c:pt idx="95">
                  <c:v>1965</c:v>
                </c:pt>
                <c:pt idx="96">
                  <c:v>1966</c:v>
                </c:pt>
                <c:pt idx="97">
                  <c:v>1967</c:v>
                </c:pt>
                <c:pt idx="98">
                  <c:v>1968</c:v>
                </c:pt>
                <c:pt idx="99">
                  <c:v>1969</c:v>
                </c:pt>
                <c:pt idx="100">
                  <c:v>1970</c:v>
                </c:pt>
                <c:pt idx="101">
                  <c:v>1971</c:v>
                </c:pt>
                <c:pt idx="102">
                  <c:v>1972</c:v>
                </c:pt>
                <c:pt idx="103">
                  <c:v>1973</c:v>
                </c:pt>
                <c:pt idx="104">
                  <c:v>1974</c:v>
                </c:pt>
                <c:pt idx="105">
                  <c:v>1975</c:v>
                </c:pt>
                <c:pt idx="106">
                  <c:v>1976</c:v>
                </c:pt>
                <c:pt idx="107">
                  <c:v>1977</c:v>
                </c:pt>
                <c:pt idx="108">
                  <c:v>1978</c:v>
                </c:pt>
                <c:pt idx="109">
                  <c:v>1979</c:v>
                </c:pt>
                <c:pt idx="110">
                  <c:v>1980</c:v>
                </c:pt>
                <c:pt idx="111">
                  <c:v>1981</c:v>
                </c:pt>
                <c:pt idx="112">
                  <c:v>1982</c:v>
                </c:pt>
                <c:pt idx="113">
                  <c:v>1983</c:v>
                </c:pt>
                <c:pt idx="114">
                  <c:v>1984</c:v>
                </c:pt>
                <c:pt idx="115">
                  <c:v>1985</c:v>
                </c:pt>
                <c:pt idx="116">
                  <c:v>1986</c:v>
                </c:pt>
                <c:pt idx="117">
                  <c:v>1987</c:v>
                </c:pt>
                <c:pt idx="118">
                  <c:v>1988</c:v>
                </c:pt>
                <c:pt idx="119">
                  <c:v>1989</c:v>
                </c:pt>
                <c:pt idx="120">
                  <c:v>1990</c:v>
                </c:pt>
                <c:pt idx="121">
                  <c:v>1991</c:v>
                </c:pt>
                <c:pt idx="122">
                  <c:v>1992</c:v>
                </c:pt>
                <c:pt idx="123">
                  <c:v>1993</c:v>
                </c:pt>
                <c:pt idx="124">
                  <c:v>1994</c:v>
                </c:pt>
                <c:pt idx="125">
                  <c:v>1995</c:v>
                </c:pt>
                <c:pt idx="126">
                  <c:v>1996</c:v>
                </c:pt>
                <c:pt idx="127">
                  <c:v>1997</c:v>
                </c:pt>
                <c:pt idx="128">
                  <c:v>1998</c:v>
                </c:pt>
                <c:pt idx="129">
                  <c:v>1999</c:v>
                </c:pt>
                <c:pt idx="130">
                  <c:v>2000</c:v>
                </c:pt>
                <c:pt idx="131">
                  <c:v>2001</c:v>
                </c:pt>
                <c:pt idx="132">
                  <c:v>2002</c:v>
                </c:pt>
                <c:pt idx="133">
                  <c:v>2003</c:v>
                </c:pt>
                <c:pt idx="134">
                  <c:v>2004</c:v>
                </c:pt>
                <c:pt idx="135">
                  <c:v>2005</c:v>
                </c:pt>
                <c:pt idx="136">
                  <c:v>2006</c:v>
                </c:pt>
                <c:pt idx="137">
                  <c:v>2007</c:v>
                </c:pt>
                <c:pt idx="138">
                  <c:v>2008</c:v>
                </c:pt>
                <c:pt idx="139">
                  <c:v>2009</c:v>
                </c:pt>
                <c:pt idx="140">
                  <c:v>2010</c:v>
                </c:pt>
                <c:pt idx="141">
                  <c:v>2011</c:v>
                </c:pt>
                <c:pt idx="142">
                  <c:v>2012</c:v>
                </c:pt>
                <c:pt idx="143">
                  <c:v>2013</c:v>
                </c:pt>
                <c:pt idx="144">
                  <c:v>2014</c:v>
                </c:pt>
                <c:pt idx="145">
                  <c:v>2015</c:v>
                </c:pt>
                <c:pt idx="146">
                  <c:v>2016</c:v>
                </c:pt>
                <c:pt idx="147">
                  <c:v>2017</c:v>
                </c:pt>
              </c:numCache>
            </c:numRef>
          </c:xVal>
          <c:yVal>
            <c:numRef>
              <c:f>'SKL-4K'!$B$2:$B$149</c:f>
              <c:numCache>
                <c:formatCode>General</c:formatCode>
                <c:ptCount val="148"/>
                <c:pt idx="0">
                  <c:v>1</c:v>
                </c:pt>
                <c:pt idx="1">
                  <c:v>1</c:v>
                </c:pt>
                <c:pt idx="2">
                  <c:v>1</c:v>
                </c:pt>
                <c:pt idx="3">
                  <c:v>1</c:v>
                </c:pt>
                <c:pt idx="4">
                  <c:v>1</c:v>
                </c:pt>
                <c:pt idx="5">
                  <c:v>1</c:v>
                </c:pt>
                <c:pt idx="6">
                  <c:v>1</c:v>
                </c:pt>
                <c:pt idx="7">
                  <c:v>3</c:v>
                </c:pt>
                <c:pt idx="8">
                  <c:v>3</c:v>
                </c:pt>
                <c:pt idx="9">
                  <c:v>4</c:v>
                </c:pt>
                <c:pt idx="10">
                  <c:v>4</c:v>
                </c:pt>
                <c:pt idx="11">
                  <c:v>4</c:v>
                </c:pt>
                <c:pt idx="12">
                  <c:v>4</c:v>
                </c:pt>
                <c:pt idx="13">
                  <c:v>4</c:v>
                </c:pt>
                <c:pt idx="14">
                  <c:v>4</c:v>
                </c:pt>
                <c:pt idx="15">
                  <c:v>5</c:v>
                </c:pt>
                <c:pt idx="16">
                  <c:v>5</c:v>
                </c:pt>
                <c:pt idx="17">
                  <c:v>6</c:v>
                </c:pt>
                <c:pt idx="18">
                  <c:v>6</c:v>
                </c:pt>
                <c:pt idx="19">
                  <c:v>7</c:v>
                </c:pt>
                <c:pt idx="20">
                  <c:v>8</c:v>
                </c:pt>
                <c:pt idx="21">
                  <c:v>9</c:v>
                </c:pt>
                <c:pt idx="22">
                  <c:v>9</c:v>
                </c:pt>
                <c:pt idx="23">
                  <c:v>10</c:v>
                </c:pt>
                <c:pt idx="24">
                  <c:v>10</c:v>
                </c:pt>
                <c:pt idx="25">
                  <c:v>10</c:v>
                </c:pt>
                <c:pt idx="26">
                  <c:v>10</c:v>
                </c:pt>
                <c:pt idx="27">
                  <c:v>11</c:v>
                </c:pt>
                <c:pt idx="28">
                  <c:v>12</c:v>
                </c:pt>
                <c:pt idx="29">
                  <c:v>14</c:v>
                </c:pt>
                <c:pt idx="30">
                  <c:v>14</c:v>
                </c:pt>
                <c:pt idx="31">
                  <c:v>15</c:v>
                </c:pt>
                <c:pt idx="32">
                  <c:v>15</c:v>
                </c:pt>
                <c:pt idx="33">
                  <c:v>16</c:v>
                </c:pt>
                <c:pt idx="34">
                  <c:v>16</c:v>
                </c:pt>
                <c:pt idx="35">
                  <c:v>17</c:v>
                </c:pt>
                <c:pt idx="36">
                  <c:v>17</c:v>
                </c:pt>
                <c:pt idx="37">
                  <c:v>17</c:v>
                </c:pt>
                <c:pt idx="38">
                  <c:v>18</c:v>
                </c:pt>
                <c:pt idx="39">
                  <c:v>18</c:v>
                </c:pt>
                <c:pt idx="40">
                  <c:v>19</c:v>
                </c:pt>
                <c:pt idx="41">
                  <c:v>19</c:v>
                </c:pt>
                <c:pt idx="42">
                  <c:v>19</c:v>
                </c:pt>
                <c:pt idx="43">
                  <c:v>19</c:v>
                </c:pt>
                <c:pt idx="44">
                  <c:v>19</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pt idx="66">
                  <c:v>20</c:v>
                </c:pt>
                <c:pt idx="67">
                  <c:v>20</c:v>
                </c:pt>
                <c:pt idx="68">
                  <c:v>20</c:v>
                </c:pt>
                <c:pt idx="69">
                  <c:v>20</c:v>
                </c:pt>
                <c:pt idx="70">
                  <c:v>20</c:v>
                </c:pt>
                <c:pt idx="71">
                  <c:v>20</c:v>
                </c:pt>
                <c:pt idx="72">
                  <c:v>20</c:v>
                </c:pt>
                <c:pt idx="73">
                  <c:v>20</c:v>
                </c:pt>
                <c:pt idx="74">
                  <c:v>20</c:v>
                </c:pt>
                <c:pt idx="75">
                  <c:v>21</c:v>
                </c:pt>
                <c:pt idx="76">
                  <c:v>21</c:v>
                </c:pt>
                <c:pt idx="77">
                  <c:v>21</c:v>
                </c:pt>
                <c:pt idx="78">
                  <c:v>21</c:v>
                </c:pt>
                <c:pt idx="79">
                  <c:v>21</c:v>
                </c:pt>
                <c:pt idx="80">
                  <c:v>21</c:v>
                </c:pt>
                <c:pt idx="81">
                  <c:v>21</c:v>
                </c:pt>
                <c:pt idx="82">
                  <c:v>21</c:v>
                </c:pt>
                <c:pt idx="83">
                  <c:v>21</c:v>
                </c:pt>
                <c:pt idx="84">
                  <c:v>21</c:v>
                </c:pt>
                <c:pt idx="85">
                  <c:v>21</c:v>
                </c:pt>
                <c:pt idx="86">
                  <c:v>21</c:v>
                </c:pt>
                <c:pt idx="87">
                  <c:v>21</c:v>
                </c:pt>
                <c:pt idx="88">
                  <c:v>21</c:v>
                </c:pt>
                <c:pt idx="89">
                  <c:v>21</c:v>
                </c:pt>
                <c:pt idx="90">
                  <c:v>21</c:v>
                </c:pt>
                <c:pt idx="91">
                  <c:v>21</c:v>
                </c:pt>
                <c:pt idx="92">
                  <c:v>21</c:v>
                </c:pt>
                <c:pt idx="93">
                  <c:v>21</c:v>
                </c:pt>
                <c:pt idx="94">
                  <c:v>21</c:v>
                </c:pt>
                <c:pt idx="95">
                  <c:v>21</c:v>
                </c:pt>
                <c:pt idx="96">
                  <c:v>21</c:v>
                </c:pt>
                <c:pt idx="97">
                  <c:v>21</c:v>
                </c:pt>
                <c:pt idx="98">
                  <c:v>21</c:v>
                </c:pt>
                <c:pt idx="99">
                  <c:v>21</c:v>
                </c:pt>
                <c:pt idx="100">
                  <c:v>21</c:v>
                </c:pt>
                <c:pt idx="101">
                  <c:v>21</c:v>
                </c:pt>
                <c:pt idx="102">
                  <c:v>21</c:v>
                </c:pt>
                <c:pt idx="103">
                  <c:v>21</c:v>
                </c:pt>
                <c:pt idx="104">
                  <c:v>21</c:v>
                </c:pt>
                <c:pt idx="105">
                  <c:v>21</c:v>
                </c:pt>
                <c:pt idx="106">
                  <c:v>21</c:v>
                </c:pt>
                <c:pt idx="107">
                  <c:v>21</c:v>
                </c:pt>
                <c:pt idx="108">
                  <c:v>21</c:v>
                </c:pt>
                <c:pt idx="109">
                  <c:v>21</c:v>
                </c:pt>
                <c:pt idx="110">
                  <c:v>21</c:v>
                </c:pt>
                <c:pt idx="111">
                  <c:v>21</c:v>
                </c:pt>
                <c:pt idx="112">
                  <c:v>21</c:v>
                </c:pt>
                <c:pt idx="113">
                  <c:v>21</c:v>
                </c:pt>
                <c:pt idx="114">
                  <c:v>21</c:v>
                </c:pt>
                <c:pt idx="115">
                  <c:v>21</c:v>
                </c:pt>
                <c:pt idx="116">
                  <c:v>21</c:v>
                </c:pt>
                <c:pt idx="117">
                  <c:v>21</c:v>
                </c:pt>
                <c:pt idx="118">
                  <c:v>21</c:v>
                </c:pt>
                <c:pt idx="119">
                  <c:v>21</c:v>
                </c:pt>
                <c:pt idx="120">
                  <c:v>21</c:v>
                </c:pt>
                <c:pt idx="121">
                  <c:v>21</c:v>
                </c:pt>
                <c:pt idx="122">
                  <c:v>21</c:v>
                </c:pt>
                <c:pt idx="123">
                  <c:v>21</c:v>
                </c:pt>
                <c:pt idx="124">
                  <c:v>21</c:v>
                </c:pt>
                <c:pt idx="125">
                  <c:v>21</c:v>
                </c:pt>
                <c:pt idx="126">
                  <c:v>21</c:v>
                </c:pt>
                <c:pt idx="127">
                  <c:v>21</c:v>
                </c:pt>
                <c:pt idx="128">
                  <c:v>21</c:v>
                </c:pt>
                <c:pt idx="129">
                  <c:v>21</c:v>
                </c:pt>
                <c:pt idx="130">
                  <c:v>21</c:v>
                </c:pt>
                <c:pt idx="131">
                  <c:v>21</c:v>
                </c:pt>
                <c:pt idx="132">
                  <c:v>21</c:v>
                </c:pt>
                <c:pt idx="133">
                  <c:v>21</c:v>
                </c:pt>
                <c:pt idx="134">
                  <c:v>21</c:v>
                </c:pt>
                <c:pt idx="135">
                  <c:v>21</c:v>
                </c:pt>
                <c:pt idx="136">
                  <c:v>21</c:v>
                </c:pt>
                <c:pt idx="137">
                  <c:v>21</c:v>
                </c:pt>
                <c:pt idx="138">
                  <c:v>21</c:v>
                </c:pt>
                <c:pt idx="139">
                  <c:v>21</c:v>
                </c:pt>
                <c:pt idx="140">
                  <c:v>21</c:v>
                </c:pt>
                <c:pt idx="141">
                  <c:v>21</c:v>
                </c:pt>
                <c:pt idx="142">
                  <c:v>21</c:v>
                </c:pt>
                <c:pt idx="143">
                  <c:v>21</c:v>
                </c:pt>
                <c:pt idx="144">
                  <c:v>21</c:v>
                </c:pt>
                <c:pt idx="145">
                  <c:v>21</c:v>
                </c:pt>
                <c:pt idx="146">
                  <c:v>21</c:v>
                </c:pt>
                <c:pt idx="147">
                  <c:v>21</c:v>
                </c:pt>
              </c:numCache>
            </c:numRef>
          </c:yVal>
          <c:smooth val="0"/>
          <c:extLst xmlns:c16r2="http://schemas.microsoft.com/office/drawing/2015/06/chart">
            <c:ext xmlns:c16="http://schemas.microsoft.com/office/drawing/2014/chart" uri="{C3380CC4-5D6E-409C-BE32-E72D297353CC}">
              <c16:uniqueId val="{00000001-9B26-4A77-8DB3-D3F4A32AFA43}"/>
            </c:ext>
          </c:extLst>
        </c:ser>
        <c:dLbls>
          <c:showLegendKey val="0"/>
          <c:showVal val="0"/>
          <c:showCatName val="0"/>
          <c:showSerName val="0"/>
          <c:showPercent val="0"/>
          <c:showBubbleSize val="0"/>
        </c:dLbls>
        <c:axId val="681556992"/>
        <c:axId val="681558784"/>
      </c:scatterChart>
      <c:valAx>
        <c:axId val="681552896"/>
        <c:scaling>
          <c:orientation val="minMax"/>
          <c:max val="2020"/>
          <c:min val="1860"/>
        </c:scaling>
        <c:delete val="0"/>
        <c:axPos val="b"/>
        <c:title>
          <c:tx>
            <c:rich>
              <a:bodyPr/>
              <a:lstStyle/>
              <a:p>
                <a:pPr>
                  <a:defRPr/>
                </a:pPr>
                <a:r>
                  <a:rPr lang="ru-RU"/>
                  <a:t>Годы</a:t>
                </a:r>
              </a:p>
            </c:rich>
          </c:tx>
          <c:layout>
            <c:manualLayout>
              <c:xMode val="edge"/>
              <c:yMode val="edge"/>
              <c:x val="0.47863322640225531"/>
              <c:y val="0.88319447248581107"/>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681555072"/>
        <c:crosses val="autoZero"/>
        <c:crossBetween val="midCat"/>
        <c:majorUnit val="5"/>
        <c:minorUnit val="5"/>
      </c:valAx>
      <c:valAx>
        <c:axId val="681555072"/>
        <c:scaling>
          <c:orientation val="minMax"/>
          <c:max val="2"/>
        </c:scaling>
        <c:delete val="0"/>
        <c:axPos val="l"/>
        <c:majorGridlines>
          <c:spPr>
            <a:ln w="3175">
              <a:solidFill>
                <a:srgbClr val="000000"/>
              </a:solidFill>
              <a:prstDash val="solid"/>
            </a:ln>
          </c:spPr>
        </c:majorGridlines>
        <c:title>
          <c:tx>
            <c:rich>
              <a:bodyPr/>
              <a:lstStyle/>
              <a:p>
                <a:pPr>
                  <a:defRPr/>
                </a:pPr>
                <a:r>
                  <a:rPr lang="ru-RU"/>
                  <a:t>Индексы</a:t>
                </a:r>
              </a:p>
            </c:rich>
          </c:tx>
          <c:layout>
            <c:manualLayout>
              <c:xMode val="edge"/>
              <c:yMode val="edge"/>
              <c:x val="9.4966761633428296E-3"/>
              <c:y val="0.2151006124234470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681552896"/>
        <c:crosses val="autoZero"/>
        <c:crossBetween val="midCat"/>
        <c:majorUnit val="1"/>
      </c:valAx>
      <c:valAx>
        <c:axId val="681556992"/>
        <c:scaling>
          <c:orientation val="minMax"/>
        </c:scaling>
        <c:delete val="1"/>
        <c:axPos val="b"/>
        <c:numFmt formatCode="General" sourceLinked="1"/>
        <c:majorTickMark val="out"/>
        <c:minorTickMark val="none"/>
        <c:tickLblPos val="nextTo"/>
        <c:crossAx val="681558784"/>
        <c:crosses val="autoZero"/>
        <c:crossBetween val="midCat"/>
      </c:valAx>
      <c:valAx>
        <c:axId val="681558784"/>
        <c:scaling>
          <c:orientation val="minMax"/>
        </c:scaling>
        <c:delete val="0"/>
        <c:axPos val="r"/>
        <c:title>
          <c:tx>
            <c:rich>
              <a:bodyPr rot="-5400000" vert="horz"/>
              <a:lstStyle/>
              <a:p>
                <a:pPr>
                  <a:defRPr/>
                </a:pPr>
                <a:r>
                  <a:rPr lang="ru-RU"/>
                  <a:t>Количесство</a:t>
                </a:r>
                <a:r>
                  <a:rPr lang="ru-RU" baseline="0"/>
                  <a:t> деревьев, шт</a:t>
                </a:r>
                <a:endParaRPr lang="ru-RU"/>
              </a:p>
            </c:rich>
          </c:tx>
          <c:overlay val="0"/>
        </c:title>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681556992"/>
        <c:crosses val="max"/>
        <c:crossBetween val="midCat"/>
      </c:valAx>
      <c:spPr>
        <a:solidFill>
          <a:schemeClr val="bg1">
            <a:lumMod val="95000"/>
            <a:alpha val="16000"/>
          </a:schemeClr>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50142035292091"/>
          <c:y val="7.3987857076931188E-2"/>
          <c:w val="0.86329228077259579"/>
          <c:h val="0.74150075347045519"/>
        </c:manualLayout>
      </c:layout>
      <c:scatterChart>
        <c:scatterStyle val="lineMarker"/>
        <c:varyColors val="0"/>
        <c:ser>
          <c:idx val="0"/>
          <c:order val="0"/>
          <c:tx>
            <c:strRef>
              <c:f>m_corr!$N$20</c:f>
              <c:strCache>
                <c:ptCount val="1"/>
                <c:pt idx="0">
                  <c:v>Май</c:v>
                </c:pt>
              </c:strCache>
            </c:strRef>
          </c:tx>
          <c:spPr>
            <a:ln w="23620">
              <a:solidFill>
                <a:srgbClr val="00B050"/>
              </a:solidFill>
              <a:prstDash val="solid"/>
            </a:ln>
          </c:spPr>
          <c:marker>
            <c:symbol val="none"/>
          </c:marker>
          <c:xVal>
            <c:numRef>
              <c:f>m_corr!$A$21:$A$60</c:f>
              <c:numCache>
                <c:formatCode>General</c:formatCode>
                <c:ptCount val="40"/>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numCache>
            </c:numRef>
          </c:xVal>
          <c:yVal>
            <c:numRef>
              <c:f>m_corr!$N$21:$N$60</c:f>
              <c:numCache>
                <c:formatCode>General</c:formatCode>
                <c:ptCount val="40"/>
                <c:pt idx="0">
                  <c:v>-0.18</c:v>
                </c:pt>
                <c:pt idx="1">
                  <c:v>-0.255</c:v>
                </c:pt>
                <c:pt idx="2">
                  <c:v>-0.26500000000000001</c:v>
                </c:pt>
                <c:pt idx="3">
                  <c:v>-0.26700000000000002</c:v>
                </c:pt>
                <c:pt idx="4">
                  <c:v>-0.24099999999999999</c:v>
                </c:pt>
                <c:pt idx="5">
                  <c:v>-0.245</c:v>
                </c:pt>
                <c:pt idx="6">
                  <c:v>-0.25800000000000001</c:v>
                </c:pt>
                <c:pt idx="7">
                  <c:v>-0.26200000000000001</c:v>
                </c:pt>
                <c:pt idx="8">
                  <c:v>-0.251</c:v>
                </c:pt>
                <c:pt idx="9">
                  <c:v>-0.23400000000000001</c:v>
                </c:pt>
                <c:pt idx="10">
                  <c:v>-0.24299999999999999</c:v>
                </c:pt>
                <c:pt idx="11">
                  <c:v>-0.25700000000000001</c:v>
                </c:pt>
                <c:pt idx="12">
                  <c:v>-0.255</c:v>
                </c:pt>
                <c:pt idx="13">
                  <c:v>-0.254</c:v>
                </c:pt>
                <c:pt idx="14">
                  <c:v>-0.254</c:v>
                </c:pt>
                <c:pt idx="15">
                  <c:v>-0.30199999999999999</c:v>
                </c:pt>
                <c:pt idx="16">
                  <c:v>-0.30599999999999999</c:v>
                </c:pt>
                <c:pt idx="17">
                  <c:v>-0.30199999999999999</c:v>
                </c:pt>
                <c:pt idx="18">
                  <c:v>-0.31900000000000001</c:v>
                </c:pt>
                <c:pt idx="19">
                  <c:v>-0.312</c:v>
                </c:pt>
                <c:pt idx="20">
                  <c:v>-0.28799999999999998</c:v>
                </c:pt>
                <c:pt idx="21">
                  <c:v>-0.25600000000000001</c:v>
                </c:pt>
                <c:pt idx="22">
                  <c:v>-0.27600000000000002</c:v>
                </c:pt>
                <c:pt idx="23">
                  <c:v>-0.28399999999999997</c:v>
                </c:pt>
                <c:pt idx="24">
                  <c:v>-0.28299999999999997</c:v>
                </c:pt>
                <c:pt idx="25">
                  <c:v>-0.29099999999999998</c:v>
                </c:pt>
                <c:pt idx="26">
                  <c:v>-0.29899999999999999</c:v>
                </c:pt>
                <c:pt idx="27">
                  <c:v>-0.28899999999999998</c:v>
                </c:pt>
                <c:pt idx="28">
                  <c:v>-0.35</c:v>
                </c:pt>
                <c:pt idx="29">
                  <c:v>-0.30399999999999999</c:v>
                </c:pt>
                <c:pt idx="30">
                  <c:v>-0.30099999999999999</c:v>
                </c:pt>
                <c:pt idx="31">
                  <c:v>-0.24099999999999999</c:v>
                </c:pt>
                <c:pt idx="32">
                  <c:v>-0.22600000000000001</c:v>
                </c:pt>
                <c:pt idx="33">
                  <c:v>-0.22600000000000001</c:v>
                </c:pt>
                <c:pt idx="34">
                  <c:v>-0.17899999999999999</c:v>
                </c:pt>
                <c:pt idx="35">
                  <c:v>-0.19700000000000001</c:v>
                </c:pt>
                <c:pt idx="36">
                  <c:v>-0.22600000000000001</c:v>
                </c:pt>
                <c:pt idx="37">
                  <c:v>-0.25800000000000001</c:v>
                </c:pt>
                <c:pt idx="38">
                  <c:v>-0.248</c:v>
                </c:pt>
                <c:pt idx="39">
                  <c:v>-0.22600000000000001</c:v>
                </c:pt>
              </c:numCache>
            </c:numRef>
          </c:yVal>
          <c:smooth val="0"/>
        </c:ser>
        <c:ser>
          <c:idx val="1"/>
          <c:order val="1"/>
          <c:tx>
            <c:strRef>
              <c:f>m_corr!$O$20</c:f>
              <c:strCache>
                <c:ptCount val="1"/>
                <c:pt idx="0">
                  <c:v>Июнь</c:v>
                </c:pt>
              </c:strCache>
            </c:strRef>
          </c:tx>
          <c:spPr>
            <a:ln w="23620">
              <a:solidFill>
                <a:srgbClr val="FFC000"/>
              </a:solidFill>
              <a:prstDash val="solid"/>
            </a:ln>
          </c:spPr>
          <c:marker>
            <c:symbol val="none"/>
          </c:marker>
          <c:xVal>
            <c:numRef>
              <c:f>m_corr!$A$21:$A$60</c:f>
              <c:numCache>
                <c:formatCode>General</c:formatCode>
                <c:ptCount val="40"/>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numCache>
            </c:numRef>
          </c:xVal>
          <c:yVal>
            <c:numRef>
              <c:f>m_corr!$O$21:$O$60</c:f>
              <c:numCache>
                <c:formatCode>General</c:formatCode>
                <c:ptCount val="40"/>
                <c:pt idx="0">
                  <c:v>-0.34699999999999998</c:v>
                </c:pt>
                <c:pt idx="1">
                  <c:v>-0.41699999999999998</c:v>
                </c:pt>
                <c:pt idx="2">
                  <c:v>-0.38500000000000001</c:v>
                </c:pt>
                <c:pt idx="3">
                  <c:v>-0.45300000000000001</c:v>
                </c:pt>
                <c:pt idx="4">
                  <c:v>-0.46200000000000002</c:v>
                </c:pt>
                <c:pt idx="5">
                  <c:v>-0.41799999999999998</c:v>
                </c:pt>
                <c:pt idx="6">
                  <c:v>-0.436</c:v>
                </c:pt>
                <c:pt idx="7">
                  <c:v>-0.42899999999999999</c:v>
                </c:pt>
                <c:pt idx="8">
                  <c:v>-0.42099999999999999</c:v>
                </c:pt>
                <c:pt idx="9">
                  <c:v>-0.42199999999999999</c:v>
                </c:pt>
                <c:pt idx="10">
                  <c:v>-0.39400000000000002</c:v>
                </c:pt>
                <c:pt idx="11">
                  <c:v>-0.38100000000000001</c:v>
                </c:pt>
                <c:pt idx="12">
                  <c:v>-0.378</c:v>
                </c:pt>
                <c:pt idx="13">
                  <c:v>-0.39</c:v>
                </c:pt>
                <c:pt idx="14">
                  <c:v>-0.39900000000000002</c:v>
                </c:pt>
                <c:pt idx="15">
                  <c:v>-0.42399999999999999</c:v>
                </c:pt>
                <c:pt idx="16">
                  <c:v>-0.39400000000000002</c:v>
                </c:pt>
                <c:pt idx="17">
                  <c:v>-0.36899999999999999</c:v>
                </c:pt>
                <c:pt idx="18">
                  <c:v>-0.35799999999999998</c:v>
                </c:pt>
                <c:pt idx="19">
                  <c:v>-0.36199999999999999</c:v>
                </c:pt>
                <c:pt idx="20">
                  <c:v>-0.34799999999999998</c:v>
                </c:pt>
                <c:pt idx="21">
                  <c:v>-0.307</c:v>
                </c:pt>
                <c:pt idx="22">
                  <c:v>-0.32600000000000001</c:v>
                </c:pt>
                <c:pt idx="23">
                  <c:v>-0.32100000000000001</c:v>
                </c:pt>
                <c:pt idx="24">
                  <c:v>-0.29699999999999999</c:v>
                </c:pt>
                <c:pt idx="25">
                  <c:v>-0.30399999999999999</c:v>
                </c:pt>
                <c:pt idx="26">
                  <c:v>-0.32100000000000001</c:v>
                </c:pt>
                <c:pt idx="27">
                  <c:v>-0.33800000000000002</c:v>
                </c:pt>
                <c:pt idx="28">
                  <c:v>-0.372</c:v>
                </c:pt>
                <c:pt idx="29">
                  <c:v>-0.33500000000000002</c:v>
                </c:pt>
                <c:pt idx="30">
                  <c:v>-0.32800000000000001</c:v>
                </c:pt>
                <c:pt idx="31">
                  <c:v>-0.33900000000000002</c:v>
                </c:pt>
                <c:pt idx="32">
                  <c:v>-0.34</c:v>
                </c:pt>
                <c:pt idx="33">
                  <c:v>-0.34100000000000003</c:v>
                </c:pt>
                <c:pt idx="34">
                  <c:v>-0.33</c:v>
                </c:pt>
                <c:pt idx="35">
                  <c:v>-0.32700000000000001</c:v>
                </c:pt>
                <c:pt idx="36">
                  <c:v>-0.34399999999999997</c:v>
                </c:pt>
                <c:pt idx="37">
                  <c:v>-0.32200000000000001</c:v>
                </c:pt>
                <c:pt idx="38">
                  <c:v>-0.32300000000000001</c:v>
                </c:pt>
                <c:pt idx="39">
                  <c:v>-0.309</c:v>
                </c:pt>
              </c:numCache>
            </c:numRef>
          </c:yVal>
          <c:smooth val="0"/>
        </c:ser>
        <c:ser>
          <c:idx val="2"/>
          <c:order val="2"/>
          <c:tx>
            <c:strRef>
              <c:f>m_corr!$P$20</c:f>
              <c:strCache>
                <c:ptCount val="1"/>
                <c:pt idx="0">
                  <c:v>Июль</c:v>
                </c:pt>
              </c:strCache>
            </c:strRef>
          </c:tx>
          <c:spPr>
            <a:ln w="23620">
              <a:solidFill>
                <a:srgbClr val="002060"/>
              </a:solidFill>
              <a:prstDash val="solid"/>
            </a:ln>
          </c:spPr>
          <c:marker>
            <c:symbol val="none"/>
          </c:marker>
          <c:xVal>
            <c:numRef>
              <c:f>m_corr!$A$21:$A$60</c:f>
              <c:numCache>
                <c:formatCode>General</c:formatCode>
                <c:ptCount val="40"/>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numCache>
            </c:numRef>
          </c:xVal>
          <c:yVal>
            <c:numRef>
              <c:f>m_corr!$P$21:$P$60</c:f>
              <c:numCache>
                <c:formatCode>General</c:formatCode>
                <c:ptCount val="40"/>
                <c:pt idx="0">
                  <c:v>-0.26100000000000001</c:v>
                </c:pt>
                <c:pt idx="1">
                  <c:v>-0.27300000000000002</c:v>
                </c:pt>
                <c:pt idx="2">
                  <c:v>-0.28999999999999998</c:v>
                </c:pt>
                <c:pt idx="3">
                  <c:v>-0.26700000000000002</c:v>
                </c:pt>
                <c:pt idx="4">
                  <c:v>-0.26400000000000001</c:v>
                </c:pt>
                <c:pt idx="5">
                  <c:v>-0.23200000000000001</c:v>
                </c:pt>
                <c:pt idx="6">
                  <c:v>-0.22600000000000001</c:v>
                </c:pt>
                <c:pt idx="7">
                  <c:v>-0.218</c:v>
                </c:pt>
                <c:pt idx="8">
                  <c:v>-0.223</c:v>
                </c:pt>
                <c:pt idx="9">
                  <c:v>-0.23799999999999999</c:v>
                </c:pt>
                <c:pt idx="10">
                  <c:v>-0.247</c:v>
                </c:pt>
                <c:pt idx="11">
                  <c:v>-0.24399999999999999</c:v>
                </c:pt>
                <c:pt idx="12">
                  <c:v>-0.23799999999999999</c:v>
                </c:pt>
                <c:pt idx="13">
                  <c:v>-0.24099999999999999</c:v>
                </c:pt>
                <c:pt idx="14">
                  <c:v>-0.25700000000000001</c:v>
                </c:pt>
                <c:pt idx="15">
                  <c:v>-0.32700000000000001</c:v>
                </c:pt>
                <c:pt idx="16">
                  <c:v>-0.32400000000000001</c:v>
                </c:pt>
                <c:pt idx="17">
                  <c:v>-0.311</c:v>
                </c:pt>
                <c:pt idx="18">
                  <c:v>-0.28599999999999998</c:v>
                </c:pt>
                <c:pt idx="19">
                  <c:v>-0.28100000000000003</c:v>
                </c:pt>
                <c:pt idx="20">
                  <c:v>-0.254</c:v>
                </c:pt>
                <c:pt idx="21">
                  <c:v>-0.19900000000000001</c:v>
                </c:pt>
                <c:pt idx="22">
                  <c:v>-0.26100000000000001</c:v>
                </c:pt>
                <c:pt idx="23">
                  <c:v>-0.29199999999999998</c:v>
                </c:pt>
                <c:pt idx="24">
                  <c:v>-0.28199999999999997</c:v>
                </c:pt>
                <c:pt idx="25">
                  <c:v>-0.251</c:v>
                </c:pt>
                <c:pt idx="26">
                  <c:v>-0.218</c:v>
                </c:pt>
                <c:pt idx="27">
                  <c:v>-0.19400000000000001</c:v>
                </c:pt>
                <c:pt idx="28">
                  <c:v>-0.19800000000000001</c:v>
                </c:pt>
                <c:pt idx="29">
                  <c:v>-0.21299999999999999</c:v>
                </c:pt>
                <c:pt idx="30">
                  <c:v>-0.19800000000000001</c:v>
                </c:pt>
                <c:pt idx="31">
                  <c:v>-0.17899999999999999</c:v>
                </c:pt>
                <c:pt idx="32">
                  <c:v>-0.16900000000000001</c:v>
                </c:pt>
                <c:pt idx="33">
                  <c:v>-0.17</c:v>
                </c:pt>
                <c:pt idx="34">
                  <c:v>-0.1</c:v>
                </c:pt>
                <c:pt idx="35">
                  <c:v>-0.10100000000000001</c:v>
                </c:pt>
                <c:pt idx="36">
                  <c:v>-0.13800000000000001</c:v>
                </c:pt>
                <c:pt idx="37">
                  <c:v>-0.124</c:v>
                </c:pt>
                <c:pt idx="38">
                  <c:v>-0.114</c:v>
                </c:pt>
                <c:pt idx="39">
                  <c:v>-7.5999999999999998E-2</c:v>
                </c:pt>
              </c:numCache>
            </c:numRef>
          </c:yVal>
          <c:smooth val="0"/>
        </c:ser>
        <c:ser>
          <c:idx val="3"/>
          <c:order val="3"/>
          <c:tx>
            <c:strRef>
              <c:f>m_corr!$S$20</c:f>
              <c:strCache>
                <c:ptCount val="1"/>
                <c:pt idx="0">
                  <c:v>Лимитирующее значение коэффициента корреляции</c:v>
                </c:pt>
              </c:strCache>
            </c:strRef>
          </c:tx>
          <c:spPr>
            <a:ln w="23620">
              <a:solidFill>
                <a:srgbClr val="FF0000"/>
              </a:solidFill>
              <a:prstDash val="solid"/>
            </a:ln>
          </c:spPr>
          <c:marker>
            <c:symbol val="none"/>
          </c:marker>
          <c:xVal>
            <c:numRef>
              <c:f>m_corr!$A$21:$A$60</c:f>
              <c:numCache>
                <c:formatCode>General</c:formatCode>
                <c:ptCount val="40"/>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numCache>
            </c:numRef>
          </c:xVal>
          <c:yVal>
            <c:numRef>
              <c:f>m_corr!$S$21:$S$60</c:f>
              <c:numCache>
                <c:formatCode>General</c:formatCode>
                <c:ptCount val="40"/>
                <c:pt idx="0">
                  <c:v>-0.22</c:v>
                </c:pt>
                <c:pt idx="1">
                  <c:v>-0.22</c:v>
                </c:pt>
                <c:pt idx="2">
                  <c:v>-0.22</c:v>
                </c:pt>
                <c:pt idx="3">
                  <c:v>-0.22</c:v>
                </c:pt>
                <c:pt idx="4">
                  <c:v>-0.22</c:v>
                </c:pt>
                <c:pt idx="5">
                  <c:v>-0.22</c:v>
                </c:pt>
                <c:pt idx="6">
                  <c:v>-0.22</c:v>
                </c:pt>
                <c:pt idx="7">
                  <c:v>-0.22</c:v>
                </c:pt>
                <c:pt idx="8">
                  <c:v>-0.22</c:v>
                </c:pt>
                <c:pt idx="9">
                  <c:v>-0.22</c:v>
                </c:pt>
                <c:pt idx="10">
                  <c:v>-0.22</c:v>
                </c:pt>
                <c:pt idx="11">
                  <c:v>-0.22</c:v>
                </c:pt>
                <c:pt idx="12">
                  <c:v>-0.22</c:v>
                </c:pt>
                <c:pt idx="13">
                  <c:v>-0.22</c:v>
                </c:pt>
                <c:pt idx="14">
                  <c:v>-0.22</c:v>
                </c:pt>
                <c:pt idx="15">
                  <c:v>-0.22</c:v>
                </c:pt>
                <c:pt idx="16">
                  <c:v>-0.22</c:v>
                </c:pt>
                <c:pt idx="17">
                  <c:v>-0.22</c:v>
                </c:pt>
                <c:pt idx="18">
                  <c:v>-0.22</c:v>
                </c:pt>
                <c:pt idx="19">
                  <c:v>-0.22</c:v>
                </c:pt>
                <c:pt idx="20">
                  <c:v>-0.22</c:v>
                </c:pt>
                <c:pt idx="21">
                  <c:v>-0.22</c:v>
                </c:pt>
                <c:pt idx="22">
                  <c:v>-0.22</c:v>
                </c:pt>
                <c:pt idx="23">
                  <c:v>-0.22</c:v>
                </c:pt>
                <c:pt idx="24">
                  <c:v>-0.22</c:v>
                </c:pt>
                <c:pt idx="25">
                  <c:v>-0.22</c:v>
                </c:pt>
                <c:pt idx="26">
                  <c:v>-0.22</c:v>
                </c:pt>
                <c:pt idx="27">
                  <c:v>-0.22</c:v>
                </c:pt>
                <c:pt idx="28">
                  <c:v>-0.22</c:v>
                </c:pt>
                <c:pt idx="29">
                  <c:v>-0.22</c:v>
                </c:pt>
                <c:pt idx="30">
                  <c:v>-0.22</c:v>
                </c:pt>
                <c:pt idx="31">
                  <c:v>-0.22</c:v>
                </c:pt>
                <c:pt idx="32">
                  <c:v>-0.22</c:v>
                </c:pt>
                <c:pt idx="33">
                  <c:v>-0.22</c:v>
                </c:pt>
                <c:pt idx="34">
                  <c:v>-0.22</c:v>
                </c:pt>
                <c:pt idx="35">
                  <c:v>-0.22</c:v>
                </c:pt>
                <c:pt idx="36">
                  <c:v>-0.22</c:v>
                </c:pt>
                <c:pt idx="37">
                  <c:v>-0.22</c:v>
                </c:pt>
                <c:pt idx="38">
                  <c:v>-0.22</c:v>
                </c:pt>
                <c:pt idx="39">
                  <c:v>-0.22</c:v>
                </c:pt>
              </c:numCache>
            </c:numRef>
          </c:yVal>
          <c:smooth val="0"/>
        </c:ser>
        <c:dLbls>
          <c:showLegendKey val="0"/>
          <c:showVal val="0"/>
          <c:showCatName val="0"/>
          <c:showSerName val="0"/>
          <c:showPercent val="0"/>
          <c:showBubbleSize val="0"/>
        </c:dLbls>
        <c:axId val="683059840"/>
        <c:axId val="683062016"/>
      </c:scatterChart>
      <c:valAx>
        <c:axId val="683059840"/>
        <c:scaling>
          <c:orientation val="minMax"/>
          <c:max val="2015"/>
          <c:min val="1975"/>
        </c:scaling>
        <c:delete val="0"/>
        <c:axPos val="b"/>
        <c:majorGridlines>
          <c:spPr>
            <a:ln>
              <a:solidFill>
                <a:srgbClr val="808080">
                  <a:alpha val="35000"/>
                </a:srgbClr>
              </a:solidFill>
            </a:ln>
          </c:spPr>
        </c:majorGridlines>
        <c:title>
          <c:tx>
            <c:rich>
              <a:bodyPr/>
              <a:lstStyle/>
              <a:p>
                <a:pPr>
                  <a:defRPr sz="930"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5021001183142263"/>
              <c:y val="1.615348454577506E-3"/>
            </c:manualLayout>
          </c:layout>
          <c:overlay val="0"/>
        </c:title>
        <c:numFmt formatCode="General" sourceLinked="1"/>
        <c:majorTickMark val="out"/>
        <c:minorTickMark val="none"/>
        <c:tickLblPos val="nextTo"/>
        <c:spPr>
          <a:ln w="2952">
            <a:solidFill>
              <a:srgbClr val="000000"/>
            </a:solidFill>
            <a:prstDash val="solid"/>
          </a:ln>
        </c:spPr>
        <c:txPr>
          <a:bodyPr rot="0" vert="horz"/>
          <a:lstStyle/>
          <a:p>
            <a:pPr>
              <a:defRPr sz="930" b="0" i="0" u="none" strike="noStrike" baseline="0">
                <a:solidFill>
                  <a:srgbClr val="000000"/>
                </a:solidFill>
                <a:latin typeface="Times New Roman"/>
                <a:ea typeface="Times New Roman"/>
                <a:cs typeface="Times New Roman"/>
              </a:defRPr>
            </a:pPr>
            <a:endParaRPr lang="ru-RU"/>
          </a:p>
        </c:txPr>
        <c:crossAx val="683062016"/>
        <c:crosses val="autoZero"/>
        <c:crossBetween val="midCat"/>
        <c:majorUnit val="5"/>
        <c:minorUnit val="1"/>
      </c:valAx>
      <c:valAx>
        <c:axId val="683062016"/>
        <c:scaling>
          <c:orientation val="minMax"/>
          <c:max val="0"/>
          <c:min val="-0.5"/>
        </c:scaling>
        <c:delete val="0"/>
        <c:axPos val="l"/>
        <c:majorGridlines>
          <c:spPr>
            <a:ln>
              <a:solidFill>
                <a:srgbClr val="808080">
                  <a:alpha val="28000"/>
                </a:srgbClr>
              </a:solidFill>
            </a:ln>
          </c:spPr>
        </c:majorGridlines>
        <c:title>
          <c:tx>
            <c:rich>
              <a:bodyPr/>
              <a:lstStyle/>
              <a:p>
                <a:pPr>
                  <a:defRPr sz="930" b="0" i="0" u="none" strike="noStrike" baseline="0">
                    <a:solidFill>
                      <a:srgbClr val="000000"/>
                    </a:solidFill>
                    <a:latin typeface="Times New Roman"/>
                    <a:ea typeface="Times New Roman"/>
                    <a:cs typeface="Times New Roman"/>
                  </a:defRPr>
                </a:pPr>
                <a:r>
                  <a:rPr lang="ru-RU"/>
                  <a:t>Коэффициент корреляции</a:t>
                </a:r>
              </a:p>
            </c:rich>
          </c:tx>
          <c:layout>
            <c:manualLayout>
              <c:xMode val="edge"/>
              <c:yMode val="edge"/>
              <c:x val="1.2027253070050182E-3"/>
              <c:y val="0.11422670113996944"/>
            </c:manualLayout>
          </c:layout>
          <c:overlay val="0"/>
        </c:title>
        <c:numFmt formatCode="General" sourceLinked="1"/>
        <c:majorTickMark val="out"/>
        <c:minorTickMark val="none"/>
        <c:tickLblPos val="nextTo"/>
        <c:spPr>
          <a:ln w="2952">
            <a:solidFill>
              <a:srgbClr val="000000"/>
            </a:solidFill>
            <a:prstDash val="solid"/>
          </a:ln>
        </c:spPr>
        <c:txPr>
          <a:bodyPr rot="0" vert="horz"/>
          <a:lstStyle/>
          <a:p>
            <a:pPr>
              <a:defRPr/>
            </a:pPr>
            <a:endParaRPr lang="ru-RU"/>
          </a:p>
        </c:txPr>
        <c:crossAx val="683059840"/>
        <c:crosses val="autoZero"/>
        <c:crossBetween val="midCat"/>
        <c:majorUnit val="5.0000000000000024E-2"/>
        <c:minorUnit val="1.0000000000000005E-2"/>
      </c:valAx>
      <c:spPr>
        <a:solidFill>
          <a:schemeClr val="bg1">
            <a:lumMod val="85000"/>
            <a:alpha val="18000"/>
          </a:schemeClr>
        </a:solidFill>
        <a:ln w="11810">
          <a:solidFill>
            <a:srgbClr val="808080"/>
          </a:solidFill>
          <a:prstDash val="solid"/>
        </a:ln>
      </c:spPr>
    </c:plotArea>
    <c:legend>
      <c:legendPos val="r"/>
      <c:layout>
        <c:manualLayout>
          <c:xMode val="edge"/>
          <c:yMode val="edge"/>
          <c:x val="4.8913059442699192E-2"/>
          <c:y val="0.90677988012692445"/>
          <c:w val="0.9"/>
          <c:h val="9.3220119873075546E-2"/>
        </c:manualLayout>
      </c:layout>
      <c:overlay val="0"/>
      <c:spPr>
        <a:solidFill>
          <a:srgbClr val="FFFFFF"/>
        </a:solidFill>
        <a:ln w="2952">
          <a:noFill/>
          <a:prstDash val="solid"/>
        </a:ln>
      </c:spPr>
    </c:legend>
    <c:plotVisOnly val="1"/>
    <c:dispBlanksAs val="gap"/>
    <c:showDLblsOverMax val="0"/>
  </c:chart>
  <c:spPr>
    <a:noFill/>
    <a:ln>
      <a:noFill/>
    </a:ln>
  </c:spPr>
  <c:txPr>
    <a:bodyPr/>
    <a:lstStyle/>
    <a:p>
      <a:pPr>
        <a:defRPr sz="93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19022693490001E-2"/>
          <c:y val="0.13473388743073789"/>
          <c:w val="0.8820253718285217"/>
          <c:h val="0.69427456984543578"/>
        </c:manualLayout>
      </c:layout>
      <c:lineChart>
        <c:grouping val="standard"/>
        <c:varyColors val="0"/>
        <c:ser>
          <c:idx val="0"/>
          <c:order val="0"/>
          <c:tx>
            <c:strRef>
              <c:f>m_corr!$B$20</c:f>
              <c:strCache>
                <c:ptCount val="1"/>
                <c:pt idx="0">
                  <c:v>Май</c:v>
                </c:pt>
              </c:strCache>
            </c:strRef>
          </c:tx>
          <c:spPr>
            <a:ln w="19030">
              <a:solidFill>
                <a:srgbClr val="0070C0"/>
              </a:solidFill>
            </a:ln>
          </c:spPr>
          <c:marker>
            <c:symbol val="none"/>
          </c:marker>
          <c:cat>
            <c:numRef>
              <c:f>m_corr!$A$21:$A$61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m_corr!$B$21:$B$61</c:f>
              <c:numCache>
                <c:formatCode>General</c:formatCode>
                <c:ptCount val="41"/>
                <c:pt idx="0">
                  <c:v>-0.20399999999999999</c:v>
                </c:pt>
                <c:pt idx="1">
                  <c:v>-0.22800000000000001</c:v>
                </c:pt>
                <c:pt idx="2">
                  <c:v>-0.214</c:v>
                </c:pt>
                <c:pt idx="3">
                  <c:v>-0.21</c:v>
                </c:pt>
                <c:pt idx="4">
                  <c:v>-0.23200000000000001</c:v>
                </c:pt>
                <c:pt idx="5">
                  <c:v>-0.24299999999999999</c:v>
                </c:pt>
                <c:pt idx="6">
                  <c:v>-0.26800000000000002</c:v>
                </c:pt>
                <c:pt idx="7">
                  <c:v>-0.216</c:v>
                </c:pt>
                <c:pt idx="8">
                  <c:v>-0.219</c:v>
                </c:pt>
                <c:pt idx="9">
                  <c:v>-0.26400000000000001</c:v>
                </c:pt>
                <c:pt idx="10">
                  <c:v>-0.26900000000000002</c:v>
                </c:pt>
                <c:pt idx="11">
                  <c:v>-0.26800000000000002</c:v>
                </c:pt>
                <c:pt idx="12">
                  <c:v>-0.247</c:v>
                </c:pt>
                <c:pt idx="13">
                  <c:v>-0.29799999999999999</c:v>
                </c:pt>
                <c:pt idx="14">
                  <c:v>-0.33300000000000002</c:v>
                </c:pt>
                <c:pt idx="15">
                  <c:v>-0.33200000000000002</c:v>
                </c:pt>
                <c:pt idx="16">
                  <c:v>-0.32800000000000001</c:v>
                </c:pt>
                <c:pt idx="17">
                  <c:v>-0.30599999999999999</c:v>
                </c:pt>
                <c:pt idx="18">
                  <c:v>-0.34300000000000003</c:v>
                </c:pt>
                <c:pt idx="19">
                  <c:v>-0.32700000000000001</c:v>
                </c:pt>
                <c:pt idx="20">
                  <c:v>-0.40200000000000002</c:v>
                </c:pt>
                <c:pt idx="21">
                  <c:v>-0.41499999999999998</c:v>
                </c:pt>
                <c:pt idx="22">
                  <c:v>-0.40799999999999997</c:v>
                </c:pt>
                <c:pt idx="23">
                  <c:v>-0.41899999999999998</c:v>
                </c:pt>
                <c:pt idx="24">
                  <c:v>-0.42099999999999999</c:v>
                </c:pt>
                <c:pt idx="25">
                  <c:v>-0.40899999999999997</c:v>
                </c:pt>
                <c:pt idx="26">
                  <c:v>-0.42</c:v>
                </c:pt>
                <c:pt idx="27">
                  <c:v>-0.40500000000000003</c:v>
                </c:pt>
                <c:pt idx="28">
                  <c:v>-0.42199999999999999</c:v>
                </c:pt>
                <c:pt idx="29">
                  <c:v>-0.39500000000000002</c:v>
                </c:pt>
                <c:pt idx="30">
                  <c:v>-0.39600000000000002</c:v>
                </c:pt>
                <c:pt idx="31">
                  <c:v>-0.45</c:v>
                </c:pt>
                <c:pt idx="32">
                  <c:v>-0.41</c:v>
                </c:pt>
                <c:pt idx="33">
                  <c:v>-0.40699999999999997</c:v>
                </c:pt>
                <c:pt idx="34">
                  <c:v>-0.32200000000000001</c:v>
                </c:pt>
                <c:pt idx="35">
                  <c:v>-0.315</c:v>
                </c:pt>
                <c:pt idx="36">
                  <c:v>-0.32</c:v>
                </c:pt>
                <c:pt idx="37">
                  <c:v>-0.3</c:v>
                </c:pt>
                <c:pt idx="38">
                  <c:v>-0.312</c:v>
                </c:pt>
                <c:pt idx="39">
                  <c:v>-0.315</c:v>
                </c:pt>
                <c:pt idx="40">
                  <c:v>-0.33500000000000002</c:v>
                </c:pt>
              </c:numCache>
            </c:numRef>
          </c:val>
          <c:smooth val="0"/>
        </c:ser>
        <c:ser>
          <c:idx val="1"/>
          <c:order val="1"/>
          <c:tx>
            <c:strRef>
              <c:f>m_corr!$C$20</c:f>
              <c:strCache>
                <c:ptCount val="1"/>
                <c:pt idx="0">
                  <c:v>Июнь</c:v>
                </c:pt>
              </c:strCache>
            </c:strRef>
          </c:tx>
          <c:spPr>
            <a:ln w="19030">
              <a:solidFill>
                <a:srgbClr val="FFC000"/>
              </a:solidFill>
            </a:ln>
          </c:spPr>
          <c:marker>
            <c:symbol val="none"/>
          </c:marker>
          <c:cat>
            <c:numRef>
              <c:f>m_corr!$A$21:$A$61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m_corr!$C$21:$C$61</c:f>
              <c:numCache>
                <c:formatCode>General</c:formatCode>
                <c:ptCount val="41"/>
                <c:pt idx="0">
                  <c:v>-0.51300000000000001</c:v>
                </c:pt>
                <c:pt idx="1">
                  <c:v>-0.50800000000000001</c:v>
                </c:pt>
                <c:pt idx="2">
                  <c:v>-0.502</c:v>
                </c:pt>
                <c:pt idx="3">
                  <c:v>-0.49299999999999999</c:v>
                </c:pt>
                <c:pt idx="4">
                  <c:v>-0.52900000000000003</c:v>
                </c:pt>
                <c:pt idx="5">
                  <c:v>-0.51600000000000001</c:v>
                </c:pt>
                <c:pt idx="6">
                  <c:v>-0.53500000000000003</c:v>
                </c:pt>
                <c:pt idx="7">
                  <c:v>-0.54500000000000004</c:v>
                </c:pt>
                <c:pt idx="8">
                  <c:v>-0.52400000000000002</c:v>
                </c:pt>
                <c:pt idx="9">
                  <c:v>-0.53700000000000003</c:v>
                </c:pt>
                <c:pt idx="10">
                  <c:v>-0.52</c:v>
                </c:pt>
                <c:pt idx="11">
                  <c:v>-0.50900000000000001</c:v>
                </c:pt>
                <c:pt idx="12">
                  <c:v>-0.499</c:v>
                </c:pt>
                <c:pt idx="13">
                  <c:v>-0.5</c:v>
                </c:pt>
                <c:pt idx="14">
                  <c:v>-0.46600000000000003</c:v>
                </c:pt>
                <c:pt idx="15">
                  <c:v>-0.46899999999999997</c:v>
                </c:pt>
                <c:pt idx="16">
                  <c:v>-0.48699999999999999</c:v>
                </c:pt>
                <c:pt idx="17">
                  <c:v>-0.46</c:v>
                </c:pt>
                <c:pt idx="18">
                  <c:v>-0.497</c:v>
                </c:pt>
                <c:pt idx="19">
                  <c:v>-0.45900000000000002</c:v>
                </c:pt>
                <c:pt idx="20">
                  <c:v>-0.438</c:v>
                </c:pt>
                <c:pt idx="21">
                  <c:v>-0.41599999999999998</c:v>
                </c:pt>
                <c:pt idx="22">
                  <c:v>-0.40799999999999997</c:v>
                </c:pt>
                <c:pt idx="23">
                  <c:v>-0.40300000000000002</c:v>
                </c:pt>
                <c:pt idx="24">
                  <c:v>-0.376</c:v>
                </c:pt>
                <c:pt idx="25">
                  <c:v>-0.4</c:v>
                </c:pt>
                <c:pt idx="26">
                  <c:v>-0.377</c:v>
                </c:pt>
                <c:pt idx="27">
                  <c:v>-0.36699999999999999</c:v>
                </c:pt>
                <c:pt idx="28">
                  <c:v>-0.36299999999999999</c:v>
                </c:pt>
                <c:pt idx="29">
                  <c:v>-0.36699999999999999</c:v>
                </c:pt>
                <c:pt idx="30">
                  <c:v>-0.35799999999999998</c:v>
                </c:pt>
                <c:pt idx="31">
                  <c:v>-0.377</c:v>
                </c:pt>
                <c:pt idx="32">
                  <c:v>-0.34799999999999998</c:v>
                </c:pt>
                <c:pt idx="33">
                  <c:v>-0.34100000000000003</c:v>
                </c:pt>
                <c:pt idx="34">
                  <c:v>-0.36</c:v>
                </c:pt>
                <c:pt idx="35">
                  <c:v>-0.36499999999999999</c:v>
                </c:pt>
                <c:pt idx="36">
                  <c:v>-0.37</c:v>
                </c:pt>
                <c:pt idx="37">
                  <c:v>-0.36899999999999999</c:v>
                </c:pt>
                <c:pt idx="38">
                  <c:v>-0.38400000000000001</c:v>
                </c:pt>
                <c:pt idx="39">
                  <c:v>-0.39700000000000002</c:v>
                </c:pt>
                <c:pt idx="40">
                  <c:v>-0.39300000000000002</c:v>
                </c:pt>
              </c:numCache>
            </c:numRef>
          </c:val>
          <c:smooth val="0"/>
        </c:ser>
        <c:ser>
          <c:idx val="2"/>
          <c:order val="2"/>
          <c:tx>
            <c:strRef>
              <c:f>m_corr!$D$20</c:f>
              <c:strCache>
                <c:ptCount val="1"/>
                <c:pt idx="0">
                  <c:v>Июль</c:v>
                </c:pt>
              </c:strCache>
            </c:strRef>
          </c:tx>
          <c:spPr>
            <a:ln w="19030">
              <a:solidFill>
                <a:srgbClr val="00B050"/>
              </a:solidFill>
            </a:ln>
          </c:spPr>
          <c:marker>
            <c:symbol val="none"/>
          </c:marker>
          <c:cat>
            <c:numRef>
              <c:f>m_corr!$A$21:$A$61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m_corr!$D$21:$D$61</c:f>
              <c:numCache>
                <c:formatCode>0.00</c:formatCode>
                <c:ptCount val="41"/>
                <c:pt idx="0">
                  <c:v>-0.42099999999999999</c:v>
                </c:pt>
                <c:pt idx="1">
                  <c:v>-0.434</c:v>
                </c:pt>
                <c:pt idx="2">
                  <c:v>-0.42699999999999999</c:v>
                </c:pt>
                <c:pt idx="3">
                  <c:v>-0.42599999999999999</c:v>
                </c:pt>
                <c:pt idx="4">
                  <c:v>-0.378</c:v>
                </c:pt>
                <c:pt idx="5">
                  <c:v>-0.38100000000000001</c:v>
                </c:pt>
                <c:pt idx="6">
                  <c:v>-0.29299999999999998</c:v>
                </c:pt>
                <c:pt idx="7">
                  <c:v>-0.28699999999999998</c:v>
                </c:pt>
                <c:pt idx="8">
                  <c:v>-0.27</c:v>
                </c:pt>
                <c:pt idx="9">
                  <c:v>-0.254</c:v>
                </c:pt>
                <c:pt idx="10">
                  <c:v>-0.25700000000000001</c:v>
                </c:pt>
                <c:pt idx="11">
                  <c:v>-0.254</c:v>
                </c:pt>
                <c:pt idx="12">
                  <c:v>-0.253</c:v>
                </c:pt>
                <c:pt idx="13">
                  <c:v>-0.28000000000000003</c:v>
                </c:pt>
                <c:pt idx="14">
                  <c:v>-0.28100000000000003</c:v>
                </c:pt>
                <c:pt idx="15">
                  <c:v>-0.27900000000000003</c:v>
                </c:pt>
                <c:pt idx="16">
                  <c:v>-0.28899999999999998</c:v>
                </c:pt>
                <c:pt idx="17">
                  <c:v>-0.32500000000000001</c:v>
                </c:pt>
                <c:pt idx="18">
                  <c:v>-0.36099999999999999</c:v>
                </c:pt>
                <c:pt idx="19">
                  <c:v>-0.35699999999999998</c:v>
                </c:pt>
                <c:pt idx="20">
                  <c:v>-0.34399999999999997</c:v>
                </c:pt>
                <c:pt idx="21">
                  <c:v>-0.35699999999999998</c:v>
                </c:pt>
                <c:pt idx="22">
                  <c:v>-0.33800000000000002</c:v>
                </c:pt>
                <c:pt idx="23">
                  <c:v>-0.34699999999999998</c:v>
                </c:pt>
                <c:pt idx="24">
                  <c:v>-0.32100000000000001</c:v>
                </c:pt>
                <c:pt idx="25">
                  <c:v>-0.36299999999999999</c:v>
                </c:pt>
                <c:pt idx="26">
                  <c:v>-0.378</c:v>
                </c:pt>
                <c:pt idx="27">
                  <c:v>-0.38200000000000001</c:v>
                </c:pt>
                <c:pt idx="28">
                  <c:v>-0.39</c:v>
                </c:pt>
                <c:pt idx="29">
                  <c:v>-0.34499999999999997</c:v>
                </c:pt>
                <c:pt idx="30">
                  <c:v>-0.33400000000000002</c:v>
                </c:pt>
                <c:pt idx="31">
                  <c:v>-0.33700000000000002</c:v>
                </c:pt>
                <c:pt idx="32">
                  <c:v>-0.33700000000000002</c:v>
                </c:pt>
                <c:pt idx="33">
                  <c:v>-0.34499999999999997</c:v>
                </c:pt>
                <c:pt idx="34">
                  <c:v>-0.317</c:v>
                </c:pt>
                <c:pt idx="35">
                  <c:v>-0.307</c:v>
                </c:pt>
                <c:pt idx="36">
                  <c:v>-0.312</c:v>
                </c:pt>
                <c:pt idx="37">
                  <c:v>-0.28599999999999998</c:v>
                </c:pt>
                <c:pt idx="38">
                  <c:v>-0.27200000000000002</c:v>
                </c:pt>
                <c:pt idx="39">
                  <c:v>-0.29299999999999998</c:v>
                </c:pt>
                <c:pt idx="40">
                  <c:v>-0.3</c:v>
                </c:pt>
              </c:numCache>
            </c:numRef>
          </c:val>
          <c:smooth val="0"/>
        </c:ser>
        <c:ser>
          <c:idx val="3"/>
          <c:order val="3"/>
          <c:tx>
            <c:strRef>
              <c:f>m_corr!$E$20</c:f>
              <c:strCache>
                <c:ptCount val="1"/>
                <c:pt idx="0">
                  <c:v>Лимитирующее значение коэффициента корреляции</c:v>
                </c:pt>
              </c:strCache>
            </c:strRef>
          </c:tx>
          <c:spPr>
            <a:ln w="19030">
              <a:solidFill>
                <a:srgbClr val="FF0000"/>
              </a:solidFill>
            </a:ln>
          </c:spPr>
          <c:marker>
            <c:symbol val="none"/>
          </c:marker>
          <c:cat>
            <c:numRef>
              <c:f>m_corr!$A$21:$A$61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m_corr!$E$21:$E$61</c:f>
              <c:numCache>
                <c:formatCode>General</c:formatCode>
                <c:ptCount val="41"/>
                <c:pt idx="0">
                  <c:v>-0.22</c:v>
                </c:pt>
                <c:pt idx="1">
                  <c:v>-0.22</c:v>
                </c:pt>
                <c:pt idx="2">
                  <c:v>-0.22</c:v>
                </c:pt>
                <c:pt idx="3">
                  <c:v>-0.22</c:v>
                </c:pt>
                <c:pt idx="4">
                  <c:v>-0.22</c:v>
                </c:pt>
                <c:pt idx="5">
                  <c:v>-0.22</c:v>
                </c:pt>
                <c:pt idx="6">
                  <c:v>-0.22</c:v>
                </c:pt>
                <c:pt idx="7">
                  <c:v>-0.22</c:v>
                </c:pt>
                <c:pt idx="8">
                  <c:v>-0.22</c:v>
                </c:pt>
                <c:pt idx="9">
                  <c:v>-0.22</c:v>
                </c:pt>
                <c:pt idx="10">
                  <c:v>-0.22</c:v>
                </c:pt>
                <c:pt idx="11">
                  <c:v>-0.22</c:v>
                </c:pt>
                <c:pt idx="12">
                  <c:v>-0.22</c:v>
                </c:pt>
                <c:pt idx="13">
                  <c:v>-0.22</c:v>
                </c:pt>
                <c:pt idx="14">
                  <c:v>-0.22</c:v>
                </c:pt>
                <c:pt idx="15">
                  <c:v>-0.22</c:v>
                </c:pt>
                <c:pt idx="16">
                  <c:v>-0.22</c:v>
                </c:pt>
                <c:pt idx="17">
                  <c:v>-0.22</c:v>
                </c:pt>
                <c:pt idx="18">
                  <c:v>-0.22</c:v>
                </c:pt>
                <c:pt idx="19">
                  <c:v>-0.22</c:v>
                </c:pt>
                <c:pt idx="20">
                  <c:v>-0.22</c:v>
                </c:pt>
                <c:pt idx="21">
                  <c:v>-0.22</c:v>
                </c:pt>
                <c:pt idx="22">
                  <c:v>-0.22</c:v>
                </c:pt>
                <c:pt idx="23">
                  <c:v>-0.22</c:v>
                </c:pt>
                <c:pt idx="24">
                  <c:v>-0.22</c:v>
                </c:pt>
                <c:pt idx="25">
                  <c:v>-0.22</c:v>
                </c:pt>
                <c:pt idx="26">
                  <c:v>-0.22</c:v>
                </c:pt>
                <c:pt idx="27">
                  <c:v>-0.22</c:v>
                </c:pt>
                <c:pt idx="28">
                  <c:v>-0.22</c:v>
                </c:pt>
                <c:pt idx="29">
                  <c:v>-0.22</c:v>
                </c:pt>
                <c:pt idx="30">
                  <c:v>-0.22</c:v>
                </c:pt>
                <c:pt idx="31">
                  <c:v>-0.22</c:v>
                </c:pt>
                <c:pt idx="32">
                  <c:v>-0.22</c:v>
                </c:pt>
                <c:pt idx="33">
                  <c:v>-0.22</c:v>
                </c:pt>
                <c:pt idx="34">
                  <c:v>-0.22</c:v>
                </c:pt>
                <c:pt idx="35">
                  <c:v>-0.22</c:v>
                </c:pt>
                <c:pt idx="36">
                  <c:v>-0.22</c:v>
                </c:pt>
                <c:pt idx="37">
                  <c:v>-0.22</c:v>
                </c:pt>
                <c:pt idx="38">
                  <c:v>-0.22</c:v>
                </c:pt>
                <c:pt idx="39">
                  <c:v>-0.22</c:v>
                </c:pt>
                <c:pt idx="40">
                  <c:v>-0.22</c:v>
                </c:pt>
              </c:numCache>
            </c:numRef>
          </c:val>
          <c:smooth val="0"/>
        </c:ser>
        <c:dLbls>
          <c:showLegendKey val="0"/>
          <c:showVal val="0"/>
          <c:showCatName val="0"/>
          <c:showSerName val="0"/>
          <c:showPercent val="0"/>
          <c:showBubbleSize val="0"/>
        </c:dLbls>
        <c:marker val="1"/>
        <c:smooth val="0"/>
        <c:axId val="684591360"/>
        <c:axId val="684601728"/>
      </c:lineChart>
      <c:catAx>
        <c:axId val="684591360"/>
        <c:scaling>
          <c:orientation val="minMax"/>
        </c:scaling>
        <c:delete val="0"/>
        <c:axPos val="b"/>
        <c:majorGridlines>
          <c:spPr>
            <a:ln>
              <a:solidFill>
                <a:schemeClr val="bg1">
                  <a:lumMod val="85000"/>
                </a:schemeClr>
              </a:solidFill>
            </a:ln>
          </c:spPr>
        </c:majorGridlines>
        <c:title>
          <c:tx>
            <c:rich>
              <a:bodyPr/>
              <a:lstStyle/>
              <a:p>
                <a:pPr>
                  <a:defRPr sz="999"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49173168500517239"/>
              <c:y val="2.808238489839425E-2"/>
            </c:manualLayout>
          </c:layout>
          <c:overlay val="0"/>
        </c:title>
        <c:numFmt formatCode="General" sourceLinked="1"/>
        <c:majorTickMark val="out"/>
        <c:minorTickMark val="none"/>
        <c:tickLblPos val="nextTo"/>
        <c:txPr>
          <a:bodyPr rot="-5400000"/>
          <a:lstStyle/>
          <a:p>
            <a:pPr>
              <a:defRPr/>
            </a:pPr>
            <a:endParaRPr lang="ru-RU"/>
          </a:p>
        </c:txPr>
        <c:crossAx val="684601728"/>
        <c:crosses val="autoZero"/>
        <c:auto val="1"/>
        <c:lblAlgn val="ctr"/>
        <c:lblOffset val="100"/>
        <c:noMultiLvlLbl val="0"/>
      </c:catAx>
      <c:valAx>
        <c:axId val="684601728"/>
        <c:scaling>
          <c:orientation val="minMax"/>
        </c:scaling>
        <c:delete val="0"/>
        <c:axPos val="l"/>
        <c:majorGridlines>
          <c:spPr>
            <a:ln>
              <a:solidFill>
                <a:schemeClr val="bg1">
                  <a:lumMod val="85000"/>
                </a:schemeClr>
              </a:solidFill>
            </a:ln>
          </c:spPr>
        </c:majorGridlines>
        <c:title>
          <c:tx>
            <c:rich>
              <a:bodyPr/>
              <a:lstStyle/>
              <a:p>
                <a:pPr>
                  <a:defRPr sz="999" b="0" i="0" u="none" strike="noStrike" baseline="0">
                    <a:solidFill>
                      <a:srgbClr val="000000"/>
                    </a:solidFill>
                    <a:latin typeface="Times New Roman"/>
                    <a:ea typeface="Times New Roman"/>
                    <a:cs typeface="Times New Roman"/>
                  </a:defRPr>
                </a:pPr>
                <a:r>
                  <a:rPr lang="ru-RU"/>
                  <a:t>Коэффициент корреляции</a:t>
                </a:r>
              </a:p>
            </c:rich>
          </c:tx>
          <c:overlay val="0"/>
        </c:title>
        <c:numFmt formatCode="General" sourceLinked="1"/>
        <c:majorTickMark val="out"/>
        <c:minorTickMark val="none"/>
        <c:tickLblPos val="nextTo"/>
        <c:crossAx val="684591360"/>
        <c:crosses val="autoZero"/>
        <c:crossBetween val="midCat"/>
      </c:valAx>
      <c:spPr>
        <a:solidFill>
          <a:schemeClr val="bg1">
            <a:lumMod val="95000"/>
            <a:alpha val="21000"/>
          </a:schemeClr>
        </a:solidFill>
      </c:spPr>
    </c:plotArea>
    <c:legend>
      <c:legendPos val="r"/>
      <c:layout>
        <c:manualLayout>
          <c:xMode val="edge"/>
          <c:yMode val="edge"/>
          <c:x val="4.3478260869565218E-3"/>
          <c:y val="0.87421383647798745"/>
          <c:w val="0.9956521739130435"/>
          <c:h val="0.12893081761006289"/>
        </c:manualLayout>
      </c:layout>
      <c:overlay val="0"/>
    </c:legend>
    <c:plotVisOnly val="1"/>
    <c:dispBlanksAs val="gap"/>
    <c:showDLblsOverMax val="0"/>
  </c:chart>
  <c:spPr>
    <a:ln>
      <a:noFill/>
    </a:ln>
  </c:spPr>
  <c:txPr>
    <a:bodyPr/>
    <a:lstStyle/>
    <a:p>
      <a:pPr>
        <a:defRPr sz="9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19022693490001E-2"/>
          <c:y val="0.13473388743073789"/>
          <c:w val="0.8820253718285217"/>
          <c:h val="0.69427456984543578"/>
        </c:manualLayout>
      </c:layout>
      <c:lineChart>
        <c:grouping val="standard"/>
        <c:varyColors val="0"/>
        <c:ser>
          <c:idx val="0"/>
          <c:order val="0"/>
          <c:tx>
            <c:strRef>
              <c:f>m_corr!$B$66</c:f>
              <c:strCache>
                <c:ptCount val="1"/>
                <c:pt idx="0">
                  <c:v>Май</c:v>
                </c:pt>
              </c:strCache>
            </c:strRef>
          </c:tx>
          <c:spPr>
            <a:ln w="19061">
              <a:solidFill>
                <a:srgbClr val="0070C0"/>
              </a:solidFill>
            </a:ln>
          </c:spPr>
          <c:marker>
            <c:symbol val="none"/>
          </c:marker>
          <c:cat>
            <c:numRef>
              <c:f>m_corr!$A$67:$A$132</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m_corr!$B$67:$B$132</c:f>
              <c:numCache>
                <c:formatCode>General</c:formatCode>
                <c:ptCount val="66"/>
                <c:pt idx="0">
                  <c:v>-8.5000000000000006E-2</c:v>
                </c:pt>
                <c:pt idx="1">
                  <c:v>-0.16</c:v>
                </c:pt>
                <c:pt idx="2">
                  <c:v>-0.154</c:v>
                </c:pt>
                <c:pt idx="3">
                  <c:v>-0.17199999999999999</c:v>
                </c:pt>
                <c:pt idx="4">
                  <c:v>-0.182</c:v>
                </c:pt>
                <c:pt idx="5">
                  <c:v>-0.19400000000000001</c:v>
                </c:pt>
                <c:pt idx="6">
                  <c:v>-0.28699999999999998</c:v>
                </c:pt>
                <c:pt idx="7">
                  <c:v>-0.32200000000000001</c:v>
                </c:pt>
                <c:pt idx="8">
                  <c:v>-0.30399999999999999</c:v>
                </c:pt>
                <c:pt idx="9">
                  <c:v>-0.30599999999999999</c:v>
                </c:pt>
                <c:pt idx="10">
                  <c:v>-0.35699999999999998</c:v>
                </c:pt>
                <c:pt idx="11">
                  <c:v>-0.318</c:v>
                </c:pt>
                <c:pt idx="12">
                  <c:v>-0.32500000000000001</c:v>
                </c:pt>
                <c:pt idx="13">
                  <c:v>-0.311</c:v>
                </c:pt>
                <c:pt idx="14">
                  <c:v>-0.28799999999999998</c:v>
                </c:pt>
                <c:pt idx="15">
                  <c:v>-0.28199999999999997</c:v>
                </c:pt>
                <c:pt idx="16">
                  <c:v>-0.20699999999999999</c:v>
                </c:pt>
                <c:pt idx="17">
                  <c:v>-0.191</c:v>
                </c:pt>
                <c:pt idx="18">
                  <c:v>-0.21</c:v>
                </c:pt>
                <c:pt idx="19">
                  <c:v>-0.28199999999999997</c:v>
                </c:pt>
                <c:pt idx="20">
                  <c:v>-0.253</c:v>
                </c:pt>
                <c:pt idx="21">
                  <c:v>-0.24</c:v>
                </c:pt>
                <c:pt idx="22">
                  <c:v>-0.26500000000000001</c:v>
                </c:pt>
                <c:pt idx="23">
                  <c:v>-0.29699999999999999</c:v>
                </c:pt>
                <c:pt idx="24">
                  <c:v>-0.29399999999999998</c:v>
                </c:pt>
                <c:pt idx="25">
                  <c:v>-0.28899999999999998</c:v>
                </c:pt>
                <c:pt idx="26">
                  <c:v>-0.313</c:v>
                </c:pt>
                <c:pt idx="27">
                  <c:v>-0.314</c:v>
                </c:pt>
                <c:pt idx="28">
                  <c:v>-0.314</c:v>
                </c:pt>
                <c:pt idx="29">
                  <c:v>-0.314</c:v>
                </c:pt>
                <c:pt idx="30">
                  <c:v>-0.32200000000000001</c:v>
                </c:pt>
                <c:pt idx="31">
                  <c:v>-0.32900000000000001</c:v>
                </c:pt>
                <c:pt idx="32">
                  <c:v>-0.33100000000000002</c:v>
                </c:pt>
                <c:pt idx="33">
                  <c:v>-0.34200000000000003</c:v>
                </c:pt>
                <c:pt idx="34">
                  <c:v>-0.33600000000000002</c:v>
                </c:pt>
                <c:pt idx="35">
                  <c:v>-0.33300000000000002</c:v>
                </c:pt>
                <c:pt idx="36">
                  <c:v>-0.34899999999999998</c:v>
                </c:pt>
                <c:pt idx="37">
                  <c:v>-0.35599999999999998</c:v>
                </c:pt>
                <c:pt idx="38">
                  <c:v>-0.377</c:v>
                </c:pt>
                <c:pt idx="39">
                  <c:v>-0.37</c:v>
                </c:pt>
                <c:pt idx="40">
                  <c:v>-0.39400000000000002</c:v>
                </c:pt>
                <c:pt idx="41">
                  <c:v>-0.41099999999999998</c:v>
                </c:pt>
                <c:pt idx="42">
                  <c:v>-0.40899999999999997</c:v>
                </c:pt>
                <c:pt idx="43">
                  <c:v>-0.41399999999999998</c:v>
                </c:pt>
                <c:pt idx="44">
                  <c:v>-0.39400000000000002</c:v>
                </c:pt>
                <c:pt idx="45">
                  <c:v>-0.40699999999999997</c:v>
                </c:pt>
                <c:pt idx="46">
                  <c:v>-0.40600000000000003</c:v>
                </c:pt>
                <c:pt idx="47">
                  <c:v>-0.39200000000000002</c:v>
                </c:pt>
                <c:pt idx="48">
                  <c:v>-0.39500000000000002</c:v>
                </c:pt>
                <c:pt idx="49">
                  <c:v>-0.40600000000000003</c:v>
                </c:pt>
                <c:pt idx="50">
                  <c:v>-0.39700000000000002</c:v>
                </c:pt>
                <c:pt idx="51">
                  <c:v>-0.40300000000000002</c:v>
                </c:pt>
                <c:pt idx="52">
                  <c:v>-0.41399999999999998</c:v>
                </c:pt>
                <c:pt idx="53">
                  <c:v>-0.41499999999999998</c:v>
                </c:pt>
                <c:pt idx="54">
                  <c:v>-0.40400000000000003</c:v>
                </c:pt>
                <c:pt idx="55">
                  <c:v>-0.38100000000000001</c:v>
                </c:pt>
                <c:pt idx="56">
                  <c:v>-0.39600000000000002</c:v>
                </c:pt>
                <c:pt idx="57">
                  <c:v>-0.38100000000000001</c:v>
                </c:pt>
                <c:pt idx="58">
                  <c:v>-0.373</c:v>
                </c:pt>
                <c:pt idx="59">
                  <c:v>-0.36599999999999999</c:v>
                </c:pt>
                <c:pt idx="60">
                  <c:v>-0.33800000000000002</c:v>
                </c:pt>
                <c:pt idx="61">
                  <c:v>-0.39100000000000001</c:v>
                </c:pt>
                <c:pt idx="62">
                  <c:v>-0.38600000000000001</c:v>
                </c:pt>
                <c:pt idx="63">
                  <c:v>-0.372</c:v>
                </c:pt>
                <c:pt idx="64">
                  <c:v>-0.41299999999999998</c:v>
                </c:pt>
                <c:pt idx="65">
                  <c:v>-0.39200000000000002</c:v>
                </c:pt>
              </c:numCache>
            </c:numRef>
          </c:val>
          <c:smooth val="0"/>
        </c:ser>
        <c:ser>
          <c:idx val="1"/>
          <c:order val="1"/>
          <c:tx>
            <c:strRef>
              <c:f>m_corr!$C$66</c:f>
              <c:strCache>
                <c:ptCount val="1"/>
                <c:pt idx="0">
                  <c:v>Июнь</c:v>
                </c:pt>
              </c:strCache>
            </c:strRef>
          </c:tx>
          <c:spPr>
            <a:ln w="19061">
              <a:solidFill>
                <a:srgbClr val="FFC000"/>
              </a:solidFill>
            </a:ln>
          </c:spPr>
          <c:marker>
            <c:symbol val="none"/>
          </c:marker>
          <c:cat>
            <c:numRef>
              <c:f>m_corr!$A$67:$A$132</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m_corr!$C$67:$C$132</c:f>
              <c:numCache>
                <c:formatCode>General</c:formatCode>
                <c:ptCount val="66"/>
                <c:pt idx="0">
                  <c:v>-0.12</c:v>
                </c:pt>
                <c:pt idx="1">
                  <c:v>-0.2</c:v>
                </c:pt>
                <c:pt idx="2">
                  <c:v>-0.18</c:v>
                </c:pt>
                <c:pt idx="3">
                  <c:v>-0.19500000000000001</c:v>
                </c:pt>
                <c:pt idx="4">
                  <c:v>-0.14599999999999999</c:v>
                </c:pt>
                <c:pt idx="5">
                  <c:v>-0.13500000000000001</c:v>
                </c:pt>
                <c:pt idx="6">
                  <c:v>-0.129</c:v>
                </c:pt>
                <c:pt idx="7">
                  <c:v>-0.12</c:v>
                </c:pt>
                <c:pt idx="8">
                  <c:v>-0.14099999999999999</c:v>
                </c:pt>
                <c:pt idx="9">
                  <c:v>-0.14899999999999999</c:v>
                </c:pt>
                <c:pt idx="10">
                  <c:v>-0.151</c:v>
                </c:pt>
                <c:pt idx="11">
                  <c:v>-0.122</c:v>
                </c:pt>
                <c:pt idx="12">
                  <c:v>-0.13200000000000001</c:v>
                </c:pt>
                <c:pt idx="13">
                  <c:v>-0.114</c:v>
                </c:pt>
                <c:pt idx="14">
                  <c:v>-0.105</c:v>
                </c:pt>
                <c:pt idx="15">
                  <c:v>-0.113</c:v>
                </c:pt>
                <c:pt idx="16">
                  <c:v>-0.12</c:v>
                </c:pt>
                <c:pt idx="17">
                  <c:v>-0.13600000000000001</c:v>
                </c:pt>
                <c:pt idx="18">
                  <c:v>-0.152</c:v>
                </c:pt>
                <c:pt idx="19">
                  <c:v>-0.2</c:v>
                </c:pt>
                <c:pt idx="20">
                  <c:v>-0.221</c:v>
                </c:pt>
                <c:pt idx="21">
                  <c:v>-0.224</c:v>
                </c:pt>
                <c:pt idx="22">
                  <c:v>-0.251</c:v>
                </c:pt>
                <c:pt idx="23">
                  <c:v>-0.27300000000000002</c:v>
                </c:pt>
                <c:pt idx="24">
                  <c:v>-0.28000000000000003</c:v>
                </c:pt>
                <c:pt idx="25">
                  <c:v>-0.27700000000000002</c:v>
                </c:pt>
                <c:pt idx="26">
                  <c:v>-0.248</c:v>
                </c:pt>
                <c:pt idx="27">
                  <c:v>-0.24399999999999999</c:v>
                </c:pt>
                <c:pt idx="28">
                  <c:v>-0.26300000000000001</c:v>
                </c:pt>
                <c:pt idx="29">
                  <c:v>-0.20899999999999999</c:v>
                </c:pt>
                <c:pt idx="30">
                  <c:v>-0.22600000000000001</c:v>
                </c:pt>
                <c:pt idx="31">
                  <c:v>-0.22900000000000001</c:v>
                </c:pt>
                <c:pt idx="32">
                  <c:v>-0.22900000000000001</c:v>
                </c:pt>
                <c:pt idx="33">
                  <c:v>-0.23599999999999999</c:v>
                </c:pt>
                <c:pt idx="34">
                  <c:v>-0.248</c:v>
                </c:pt>
                <c:pt idx="35">
                  <c:v>-0.22500000000000001</c:v>
                </c:pt>
                <c:pt idx="36">
                  <c:v>-0.21099999999999999</c:v>
                </c:pt>
                <c:pt idx="37">
                  <c:v>-0.23100000000000001</c:v>
                </c:pt>
                <c:pt idx="38">
                  <c:v>-0.247</c:v>
                </c:pt>
                <c:pt idx="39">
                  <c:v>-0.23899999999999999</c:v>
                </c:pt>
                <c:pt idx="40">
                  <c:v>-0.22</c:v>
                </c:pt>
                <c:pt idx="41">
                  <c:v>-0.23300000000000001</c:v>
                </c:pt>
                <c:pt idx="42">
                  <c:v>-0.23499999999999999</c:v>
                </c:pt>
                <c:pt idx="43">
                  <c:v>-0.253</c:v>
                </c:pt>
                <c:pt idx="44">
                  <c:v>-0.25600000000000001</c:v>
                </c:pt>
                <c:pt idx="45">
                  <c:v>-0.24399999999999999</c:v>
                </c:pt>
                <c:pt idx="46">
                  <c:v>-0.27700000000000002</c:v>
                </c:pt>
                <c:pt idx="47">
                  <c:v>-0.27600000000000002</c:v>
                </c:pt>
                <c:pt idx="48">
                  <c:v>-0.27700000000000002</c:v>
                </c:pt>
                <c:pt idx="49">
                  <c:v>-0.223</c:v>
                </c:pt>
                <c:pt idx="50">
                  <c:v>-0.214</c:v>
                </c:pt>
                <c:pt idx="51">
                  <c:v>-0.216</c:v>
                </c:pt>
                <c:pt idx="52">
                  <c:v>-0.223</c:v>
                </c:pt>
                <c:pt idx="53">
                  <c:v>-0.21199999999999999</c:v>
                </c:pt>
                <c:pt idx="54">
                  <c:v>-0.27</c:v>
                </c:pt>
                <c:pt idx="55">
                  <c:v>-0.27500000000000002</c:v>
                </c:pt>
                <c:pt idx="56">
                  <c:v>-0.308</c:v>
                </c:pt>
                <c:pt idx="57">
                  <c:v>-0.32200000000000001</c:v>
                </c:pt>
                <c:pt idx="58">
                  <c:v>-0.311</c:v>
                </c:pt>
                <c:pt idx="59">
                  <c:v>-0.316</c:v>
                </c:pt>
                <c:pt idx="60">
                  <c:v>-0.28100000000000003</c:v>
                </c:pt>
                <c:pt idx="61">
                  <c:v>-0.29599999999999999</c:v>
                </c:pt>
                <c:pt idx="62">
                  <c:v>-0.246</c:v>
                </c:pt>
                <c:pt idx="63">
                  <c:v>-0.221</c:v>
                </c:pt>
                <c:pt idx="64">
                  <c:v>-0.217</c:v>
                </c:pt>
                <c:pt idx="65">
                  <c:v>-0.20799999999999999</c:v>
                </c:pt>
              </c:numCache>
            </c:numRef>
          </c:val>
          <c:smooth val="0"/>
        </c:ser>
        <c:ser>
          <c:idx val="2"/>
          <c:order val="2"/>
          <c:tx>
            <c:strRef>
              <c:f>m_corr!$D$66</c:f>
              <c:strCache>
                <c:ptCount val="1"/>
                <c:pt idx="0">
                  <c:v>Июль</c:v>
                </c:pt>
              </c:strCache>
            </c:strRef>
          </c:tx>
          <c:spPr>
            <a:ln w="19061">
              <a:solidFill>
                <a:srgbClr val="00B050"/>
              </a:solidFill>
            </a:ln>
          </c:spPr>
          <c:marker>
            <c:symbol val="none"/>
          </c:marker>
          <c:cat>
            <c:numRef>
              <c:f>m_corr!$A$67:$A$132</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m_corr!$D$67:$D$132</c:f>
              <c:numCache>
                <c:formatCode>General</c:formatCode>
                <c:ptCount val="66"/>
                <c:pt idx="0">
                  <c:v>-0.35599999999999998</c:v>
                </c:pt>
                <c:pt idx="1">
                  <c:v>-0.38200000000000001</c:v>
                </c:pt>
                <c:pt idx="2">
                  <c:v>-0.41099999999999998</c:v>
                </c:pt>
                <c:pt idx="3">
                  <c:v>-0.41299999999999998</c:v>
                </c:pt>
                <c:pt idx="4">
                  <c:v>-0.44500000000000001</c:v>
                </c:pt>
                <c:pt idx="5">
                  <c:v>-0.42</c:v>
                </c:pt>
                <c:pt idx="6">
                  <c:v>-0.39900000000000002</c:v>
                </c:pt>
                <c:pt idx="7">
                  <c:v>-0.45400000000000001</c:v>
                </c:pt>
                <c:pt idx="8">
                  <c:v>-0.45200000000000001</c:v>
                </c:pt>
                <c:pt idx="9">
                  <c:v>-0.45900000000000002</c:v>
                </c:pt>
                <c:pt idx="10">
                  <c:v>-0.45600000000000002</c:v>
                </c:pt>
                <c:pt idx="11">
                  <c:v>-0.45200000000000001</c:v>
                </c:pt>
                <c:pt idx="12">
                  <c:v>-0.443</c:v>
                </c:pt>
                <c:pt idx="13">
                  <c:v>-0.41599999999999998</c:v>
                </c:pt>
                <c:pt idx="14">
                  <c:v>-0.41299999999999998</c:v>
                </c:pt>
                <c:pt idx="15">
                  <c:v>-0.41799999999999998</c:v>
                </c:pt>
                <c:pt idx="16">
                  <c:v>-0.40799999999999997</c:v>
                </c:pt>
                <c:pt idx="17">
                  <c:v>-0.42399999999999999</c:v>
                </c:pt>
                <c:pt idx="18">
                  <c:v>-0.46500000000000002</c:v>
                </c:pt>
                <c:pt idx="19">
                  <c:v>-0.47399999999999998</c:v>
                </c:pt>
                <c:pt idx="20">
                  <c:v>-0.442</c:v>
                </c:pt>
                <c:pt idx="21">
                  <c:v>-0.436</c:v>
                </c:pt>
                <c:pt idx="22">
                  <c:v>-0.45800000000000002</c:v>
                </c:pt>
                <c:pt idx="23">
                  <c:v>-0.45400000000000001</c:v>
                </c:pt>
                <c:pt idx="24">
                  <c:v>-0.41599999999999998</c:v>
                </c:pt>
                <c:pt idx="25">
                  <c:v>-0.41799999999999998</c:v>
                </c:pt>
                <c:pt idx="26">
                  <c:v>-0.38</c:v>
                </c:pt>
                <c:pt idx="27">
                  <c:v>-0.38700000000000001</c:v>
                </c:pt>
                <c:pt idx="28">
                  <c:v>-0.379</c:v>
                </c:pt>
                <c:pt idx="29">
                  <c:v>-0.38</c:v>
                </c:pt>
                <c:pt idx="30">
                  <c:v>-0.40300000000000002</c:v>
                </c:pt>
                <c:pt idx="31">
                  <c:v>-0.41799999999999998</c:v>
                </c:pt>
                <c:pt idx="32">
                  <c:v>-0.434</c:v>
                </c:pt>
                <c:pt idx="33">
                  <c:v>-0.44800000000000001</c:v>
                </c:pt>
                <c:pt idx="34">
                  <c:v>-0.433</c:v>
                </c:pt>
                <c:pt idx="35">
                  <c:v>-0.42899999999999999</c:v>
                </c:pt>
                <c:pt idx="36">
                  <c:v>-0.42599999999999999</c:v>
                </c:pt>
                <c:pt idx="37">
                  <c:v>-0.43099999999999999</c:v>
                </c:pt>
                <c:pt idx="38">
                  <c:v>-0.40899999999999997</c:v>
                </c:pt>
                <c:pt idx="39">
                  <c:v>-0.40200000000000002</c:v>
                </c:pt>
                <c:pt idx="40">
                  <c:v>-0.40600000000000003</c:v>
                </c:pt>
                <c:pt idx="41">
                  <c:v>-0.40899999999999997</c:v>
                </c:pt>
                <c:pt idx="42">
                  <c:v>-0.41099999999999998</c:v>
                </c:pt>
                <c:pt idx="43">
                  <c:v>-0.38</c:v>
                </c:pt>
                <c:pt idx="44">
                  <c:v>-0.4</c:v>
                </c:pt>
                <c:pt idx="45">
                  <c:v>-0.38400000000000001</c:v>
                </c:pt>
                <c:pt idx="46">
                  <c:v>-0.377</c:v>
                </c:pt>
                <c:pt idx="47">
                  <c:v>-0.37</c:v>
                </c:pt>
                <c:pt idx="48">
                  <c:v>-0.35099999999999998</c:v>
                </c:pt>
                <c:pt idx="49">
                  <c:v>-0.27700000000000002</c:v>
                </c:pt>
                <c:pt idx="50">
                  <c:v>-0.245</c:v>
                </c:pt>
                <c:pt idx="51">
                  <c:v>-0.22600000000000001</c:v>
                </c:pt>
                <c:pt idx="52">
                  <c:v>-0.218</c:v>
                </c:pt>
                <c:pt idx="53">
                  <c:v>-0.20699999999999999</c:v>
                </c:pt>
                <c:pt idx="54">
                  <c:v>-0.17199999999999999</c:v>
                </c:pt>
                <c:pt idx="55">
                  <c:v>-0.17299999999999999</c:v>
                </c:pt>
                <c:pt idx="56">
                  <c:v>-0.20399999999999999</c:v>
                </c:pt>
                <c:pt idx="57">
                  <c:v>-0.14599999999999999</c:v>
                </c:pt>
                <c:pt idx="58">
                  <c:v>-0.13200000000000001</c:v>
                </c:pt>
                <c:pt idx="59">
                  <c:v>-0.122</c:v>
                </c:pt>
                <c:pt idx="60">
                  <c:v>-0.11</c:v>
                </c:pt>
                <c:pt idx="61">
                  <c:v>-0.10100000000000001</c:v>
                </c:pt>
                <c:pt idx="62">
                  <c:v>-0.13300000000000001</c:v>
                </c:pt>
                <c:pt idx="63">
                  <c:v>-0.13100000000000001</c:v>
                </c:pt>
                <c:pt idx="64">
                  <c:v>-0.13700000000000001</c:v>
                </c:pt>
                <c:pt idx="65">
                  <c:v>-0.14199999999999999</c:v>
                </c:pt>
              </c:numCache>
            </c:numRef>
          </c:val>
          <c:smooth val="0"/>
        </c:ser>
        <c:ser>
          <c:idx val="3"/>
          <c:order val="3"/>
          <c:tx>
            <c:strRef>
              <c:f>m_corr!$E$20</c:f>
              <c:strCache>
                <c:ptCount val="1"/>
                <c:pt idx="0">
                  <c:v>Лимитирующее значение коэффициента корреляции</c:v>
                </c:pt>
              </c:strCache>
            </c:strRef>
          </c:tx>
          <c:spPr>
            <a:ln w="19061">
              <a:solidFill>
                <a:srgbClr val="FF0000"/>
              </a:solidFill>
            </a:ln>
          </c:spPr>
          <c:marker>
            <c:symbol val="none"/>
          </c:marker>
          <c:cat>
            <c:numRef>
              <c:f>m_corr!$A$67:$A$132</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m_corr!$E$67:$E$132</c:f>
              <c:numCache>
                <c:formatCode>General</c:formatCode>
                <c:ptCount val="66"/>
                <c:pt idx="0">
                  <c:v>-0.22</c:v>
                </c:pt>
                <c:pt idx="1">
                  <c:v>-0.22</c:v>
                </c:pt>
                <c:pt idx="2">
                  <c:v>-0.22</c:v>
                </c:pt>
                <c:pt idx="3">
                  <c:v>-0.22</c:v>
                </c:pt>
                <c:pt idx="4">
                  <c:v>-0.22</c:v>
                </c:pt>
                <c:pt idx="5">
                  <c:v>-0.22</c:v>
                </c:pt>
                <c:pt idx="6">
                  <c:v>-0.22</c:v>
                </c:pt>
                <c:pt idx="7">
                  <c:v>-0.22</c:v>
                </c:pt>
                <c:pt idx="8">
                  <c:v>-0.22</c:v>
                </c:pt>
                <c:pt idx="9">
                  <c:v>-0.22</c:v>
                </c:pt>
                <c:pt idx="10">
                  <c:v>-0.22</c:v>
                </c:pt>
                <c:pt idx="11">
                  <c:v>-0.22</c:v>
                </c:pt>
                <c:pt idx="12">
                  <c:v>-0.22</c:v>
                </c:pt>
                <c:pt idx="13">
                  <c:v>-0.22</c:v>
                </c:pt>
                <c:pt idx="14">
                  <c:v>-0.22</c:v>
                </c:pt>
                <c:pt idx="15">
                  <c:v>-0.22</c:v>
                </c:pt>
                <c:pt idx="16">
                  <c:v>-0.22</c:v>
                </c:pt>
                <c:pt idx="17">
                  <c:v>-0.22</c:v>
                </c:pt>
                <c:pt idx="18">
                  <c:v>-0.22</c:v>
                </c:pt>
                <c:pt idx="19">
                  <c:v>-0.22</c:v>
                </c:pt>
                <c:pt idx="20">
                  <c:v>-0.22</c:v>
                </c:pt>
                <c:pt idx="21">
                  <c:v>-0.22</c:v>
                </c:pt>
                <c:pt idx="22">
                  <c:v>-0.22</c:v>
                </c:pt>
                <c:pt idx="23">
                  <c:v>-0.22</c:v>
                </c:pt>
                <c:pt idx="24">
                  <c:v>-0.22</c:v>
                </c:pt>
                <c:pt idx="25">
                  <c:v>-0.22</c:v>
                </c:pt>
                <c:pt idx="26">
                  <c:v>-0.22</c:v>
                </c:pt>
                <c:pt idx="27">
                  <c:v>-0.22</c:v>
                </c:pt>
                <c:pt idx="28">
                  <c:v>-0.22</c:v>
                </c:pt>
                <c:pt idx="29">
                  <c:v>-0.22</c:v>
                </c:pt>
                <c:pt idx="30">
                  <c:v>-0.22</c:v>
                </c:pt>
                <c:pt idx="31">
                  <c:v>-0.22</c:v>
                </c:pt>
                <c:pt idx="32">
                  <c:v>-0.22</c:v>
                </c:pt>
                <c:pt idx="33">
                  <c:v>-0.22</c:v>
                </c:pt>
                <c:pt idx="34">
                  <c:v>-0.22</c:v>
                </c:pt>
                <c:pt idx="35">
                  <c:v>-0.22</c:v>
                </c:pt>
                <c:pt idx="36">
                  <c:v>-0.22</c:v>
                </c:pt>
                <c:pt idx="37">
                  <c:v>-0.22</c:v>
                </c:pt>
                <c:pt idx="38">
                  <c:v>-0.22</c:v>
                </c:pt>
                <c:pt idx="39">
                  <c:v>-0.22</c:v>
                </c:pt>
                <c:pt idx="40">
                  <c:v>-0.22</c:v>
                </c:pt>
                <c:pt idx="41">
                  <c:v>-0.22</c:v>
                </c:pt>
                <c:pt idx="42">
                  <c:v>-0.22</c:v>
                </c:pt>
                <c:pt idx="43">
                  <c:v>-0.22</c:v>
                </c:pt>
                <c:pt idx="44">
                  <c:v>-0.22</c:v>
                </c:pt>
                <c:pt idx="45">
                  <c:v>-0.22</c:v>
                </c:pt>
                <c:pt idx="46">
                  <c:v>-0.22</c:v>
                </c:pt>
                <c:pt idx="47">
                  <c:v>-0.22</c:v>
                </c:pt>
                <c:pt idx="48">
                  <c:v>-0.22</c:v>
                </c:pt>
                <c:pt idx="49">
                  <c:v>-0.22</c:v>
                </c:pt>
                <c:pt idx="50">
                  <c:v>-0.22</c:v>
                </c:pt>
                <c:pt idx="51">
                  <c:v>-0.22</c:v>
                </c:pt>
                <c:pt idx="52">
                  <c:v>-0.22</c:v>
                </c:pt>
                <c:pt idx="53">
                  <c:v>-0.22</c:v>
                </c:pt>
                <c:pt idx="54">
                  <c:v>-0.22</c:v>
                </c:pt>
                <c:pt idx="55">
                  <c:v>-0.22</c:v>
                </c:pt>
                <c:pt idx="56">
                  <c:v>-0.22</c:v>
                </c:pt>
                <c:pt idx="57">
                  <c:v>-0.22</c:v>
                </c:pt>
                <c:pt idx="58">
                  <c:v>-0.22</c:v>
                </c:pt>
                <c:pt idx="59">
                  <c:v>-0.22</c:v>
                </c:pt>
                <c:pt idx="60">
                  <c:v>-0.22</c:v>
                </c:pt>
                <c:pt idx="61">
                  <c:v>-0.22</c:v>
                </c:pt>
                <c:pt idx="62">
                  <c:v>-0.22</c:v>
                </c:pt>
                <c:pt idx="63">
                  <c:v>-0.22</c:v>
                </c:pt>
                <c:pt idx="64">
                  <c:v>-0.22</c:v>
                </c:pt>
                <c:pt idx="65">
                  <c:v>-0.22</c:v>
                </c:pt>
              </c:numCache>
            </c:numRef>
          </c:val>
          <c:smooth val="0"/>
        </c:ser>
        <c:dLbls>
          <c:showLegendKey val="0"/>
          <c:showVal val="0"/>
          <c:showCatName val="0"/>
          <c:showSerName val="0"/>
          <c:showPercent val="0"/>
          <c:showBubbleSize val="0"/>
        </c:dLbls>
        <c:marker val="1"/>
        <c:smooth val="0"/>
        <c:axId val="683195008"/>
        <c:axId val="684856064"/>
      </c:lineChart>
      <c:catAx>
        <c:axId val="683195008"/>
        <c:scaling>
          <c:orientation val="minMax"/>
        </c:scaling>
        <c:delete val="0"/>
        <c:axPos val="b"/>
        <c:majorGridlines>
          <c:spPr>
            <a:ln>
              <a:solidFill>
                <a:schemeClr val="bg1">
                  <a:lumMod val="85000"/>
                </a:schemeClr>
              </a:solidFill>
            </a:ln>
          </c:spPr>
        </c:majorGridlines>
        <c:title>
          <c:tx>
            <c:rich>
              <a:bodyPr/>
              <a:lstStyle/>
              <a:p>
                <a:pPr>
                  <a:defRPr sz="1001"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49173168500517239"/>
              <c:y val="2.8082757260976178E-2"/>
            </c:manualLayout>
          </c:layout>
          <c:overlay val="0"/>
        </c:title>
        <c:numFmt formatCode="General" sourceLinked="1"/>
        <c:majorTickMark val="out"/>
        <c:minorTickMark val="none"/>
        <c:tickLblPos val="nextTo"/>
        <c:txPr>
          <a:bodyPr rot="-5400000"/>
          <a:lstStyle/>
          <a:p>
            <a:pPr>
              <a:defRPr/>
            </a:pPr>
            <a:endParaRPr lang="ru-RU"/>
          </a:p>
        </c:txPr>
        <c:crossAx val="684856064"/>
        <c:crosses val="autoZero"/>
        <c:auto val="1"/>
        <c:lblAlgn val="ctr"/>
        <c:lblOffset val="100"/>
        <c:noMultiLvlLbl val="0"/>
      </c:catAx>
      <c:valAx>
        <c:axId val="684856064"/>
        <c:scaling>
          <c:orientation val="minMax"/>
        </c:scaling>
        <c:delete val="0"/>
        <c:axPos val="l"/>
        <c:majorGridlines>
          <c:spPr>
            <a:ln>
              <a:solidFill>
                <a:schemeClr val="bg1">
                  <a:lumMod val="85000"/>
                </a:schemeClr>
              </a:solidFill>
            </a:ln>
          </c:spPr>
        </c:majorGridlines>
        <c:title>
          <c:tx>
            <c:rich>
              <a:bodyPr/>
              <a:lstStyle/>
              <a:p>
                <a:pPr>
                  <a:defRPr sz="1001" b="0" i="0" u="none" strike="noStrike" baseline="0">
                    <a:solidFill>
                      <a:srgbClr val="000000"/>
                    </a:solidFill>
                    <a:latin typeface="Times New Roman"/>
                    <a:ea typeface="Times New Roman"/>
                    <a:cs typeface="Times New Roman"/>
                  </a:defRPr>
                </a:pPr>
                <a:r>
                  <a:rPr lang="ru-RU"/>
                  <a:t>Коэффициент корреляции</a:t>
                </a:r>
              </a:p>
            </c:rich>
          </c:tx>
          <c:overlay val="0"/>
        </c:title>
        <c:numFmt formatCode="General" sourceLinked="1"/>
        <c:majorTickMark val="out"/>
        <c:minorTickMark val="none"/>
        <c:tickLblPos val="nextTo"/>
        <c:crossAx val="683195008"/>
        <c:crosses val="autoZero"/>
        <c:crossBetween val="midCat"/>
      </c:valAx>
      <c:spPr>
        <a:solidFill>
          <a:schemeClr val="bg1">
            <a:lumMod val="95000"/>
            <a:alpha val="21000"/>
          </a:schemeClr>
        </a:solidFill>
      </c:spPr>
    </c:plotArea>
    <c:legend>
      <c:legendPos val="r"/>
      <c:layout>
        <c:manualLayout>
          <c:xMode val="edge"/>
          <c:yMode val="edge"/>
          <c:x val="4.3478260869565218E-3"/>
          <c:y val="0.87796610169491529"/>
          <c:w val="0.9956521739130435"/>
          <c:h val="0.12542372881355932"/>
        </c:manualLayout>
      </c:layout>
      <c:overlay val="0"/>
    </c:legend>
    <c:plotVisOnly val="1"/>
    <c:dispBlanksAs val="gap"/>
    <c:showDLblsOverMax val="0"/>
  </c:chart>
  <c:spPr>
    <a:ln>
      <a:noFill/>
    </a:ln>
  </c:spPr>
  <c:txPr>
    <a:bodyPr/>
    <a:lstStyle/>
    <a:p>
      <a:pPr>
        <a:defRPr sz="100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320326407622382E-2"/>
          <c:y val="2.0279476238654531E-2"/>
          <c:w val="0.88866545527962859"/>
          <c:h val="0.67238095238095263"/>
        </c:manualLayout>
      </c:layout>
      <c:scatterChart>
        <c:scatterStyle val="lineMarker"/>
        <c:varyColors val="1"/>
        <c:ser>
          <c:idx val="0"/>
          <c:order val="0"/>
          <c:tx>
            <c:strRef>
              <c:f>MTkpbavg!$B$1</c:f>
              <c:strCache>
                <c:ptCount val="1"/>
                <c:pt idx="0">
                  <c:v>без признаков пожарной подсушины</c:v>
                </c:pt>
              </c:strCache>
            </c:strRef>
          </c:tx>
          <c:spPr>
            <a:ln w="12700">
              <a:solidFill>
                <a:srgbClr val="002060"/>
              </a:solidFill>
              <a:prstDash val="solid"/>
            </a:ln>
          </c:spPr>
          <c:marker>
            <c:symbol val="none"/>
          </c:marker>
          <c:dLbls>
            <c:showLegendKey val="1"/>
            <c:showVal val="1"/>
            <c:showCatName val="1"/>
            <c:showSerName val="1"/>
            <c:showPercent val="1"/>
            <c:showBubbleSize val="1"/>
            <c:showLeaderLines val="0"/>
          </c:dLbls>
          <c:xVal>
            <c:numRef>
              <c:f>MTkpbavg!$A$2:$A$156</c:f>
              <c:numCache>
                <c:formatCode>General</c:formatCode>
                <c:ptCount val="155"/>
                <c:pt idx="0">
                  <c:v>1863</c:v>
                </c:pt>
                <c:pt idx="1">
                  <c:v>1864</c:v>
                </c:pt>
                <c:pt idx="2">
                  <c:v>1865</c:v>
                </c:pt>
                <c:pt idx="3">
                  <c:v>1866</c:v>
                </c:pt>
                <c:pt idx="4">
                  <c:v>1867</c:v>
                </c:pt>
                <c:pt idx="5">
                  <c:v>1868</c:v>
                </c:pt>
                <c:pt idx="6">
                  <c:v>1869</c:v>
                </c:pt>
                <c:pt idx="7">
                  <c:v>1870</c:v>
                </c:pt>
                <c:pt idx="8">
                  <c:v>1871</c:v>
                </c:pt>
                <c:pt idx="9">
                  <c:v>1872</c:v>
                </c:pt>
                <c:pt idx="10">
                  <c:v>1873</c:v>
                </c:pt>
                <c:pt idx="11">
                  <c:v>1874</c:v>
                </c:pt>
                <c:pt idx="12">
                  <c:v>1875</c:v>
                </c:pt>
                <c:pt idx="13">
                  <c:v>1876</c:v>
                </c:pt>
                <c:pt idx="14">
                  <c:v>1877</c:v>
                </c:pt>
                <c:pt idx="15">
                  <c:v>1878</c:v>
                </c:pt>
                <c:pt idx="16">
                  <c:v>1879</c:v>
                </c:pt>
                <c:pt idx="17">
                  <c:v>1880</c:v>
                </c:pt>
                <c:pt idx="18">
                  <c:v>1881</c:v>
                </c:pt>
                <c:pt idx="19">
                  <c:v>1882</c:v>
                </c:pt>
                <c:pt idx="20">
                  <c:v>1883</c:v>
                </c:pt>
                <c:pt idx="21">
                  <c:v>1884</c:v>
                </c:pt>
                <c:pt idx="22">
                  <c:v>1885</c:v>
                </c:pt>
                <c:pt idx="23">
                  <c:v>1886</c:v>
                </c:pt>
                <c:pt idx="24">
                  <c:v>1887</c:v>
                </c:pt>
                <c:pt idx="25">
                  <c:v>1888</c:v>
                </c:pt>
                <c:pt idx="26">
                  <c:v>1889</c:v>
                </c:pt>
                <c:pt idx="27">
                  <c:v>1890</c:v>
                </c:pt>
                <c:pt idx="28">
                  <c:v>1891</c:v>
                </c:pt>
                <c:pt idx="29">
                  <c:v>1892</c:v>
                </c:pt>
                <c:pt idx="30">
                  <c:v>1893</c:v>
                </c:pt>
                <c:pt idx="31">
                  <c:v>1894</c:v>
                </c:pt>
                <c:pt idx="32">
                  <c:v>1895</c:v>
                </c:pt>
                <c:pt idx="33">
                  <c:v>1896</c:v>
                </c:pt>
                <c:pt idx="34">
                  <c:v>1897</c:v>
                </c:pt>
                <c:pt idx="35">
                  <c:v>1898</c:v>
                </c:pt>
                <c:pt idx="36">
                  <c:v>1899</c:v>
                </c:pt>
                <c:pt idx="37">
                  <c:v>1900</c:v>
                </c:pt>
                <c:pt idx="38">
                  <c:v>1901</c:v>
                </c:pt>
                <c:pt idx="39">
                  <c:v>1902</c:v>
                </c:pt>
                <c:pt idx="40">
                  <c:v>1903</c:v>
                </c:pt>
                <c:pt idx="41">
                  <c:v>1904</c:v>
                </c:pt>
                <c:pt idx="42">
                  <c:v>1905</c:v>
                </c:pt>
                <c:pt idx="43">
                  <c:v>1906</c:v>
                </c:pt>
                <c:pt idx="44">
                  <c:v>1907</c:v>
                </c:pt>
                <c:pt idx="45">
                  <c:v>1908</c:v>
                </c:pt>
                <c:pt idx="46">
                  <c:v>1909</c:v>
                </c:pt>
                <c:pt idx="47">
                  <c:v>1910</c:v>
                </c:pt>
                <c:pt idx="48">
                  <c:v>1911</c:v>
                </c:pt>
                <c:pt idx="49">
                  <c:v>1912</c:v>
                </c:pt>
                <c:pt idx="50">
                  <c:v>1913</c:v>
                </c:pt>
                <c:pt idx="51">
                  <c:v>1914</c:v>
                </c:pt>
                <c:pt idx="52">
                  <c:v>1915</c:v>
                </c:pt>
                <c:pt idx="53">
                  <c:v>1916</c:v>
                </c:pt>
                <c:pt idx="54">
                  <c:v>1917</c:v>
                </c:pt>
                <c:pt idx="55">
                  <c:v>1918</c:v>
                </c:pt>
                <c:pt idx="56">
                  <c:v>1919</c:v>
                </c:pt>
                <c:pt idx="57">
                  <c:v>1920</c:v>
                </c:pt>
                <c:pt idx="58">
                  <c:v>1921</c:v>
                </c:pt>
                <c:pt idx="59">
                  <c:v>1922</c:v>
                </c:pt>
                <c:pt idx="60">
                  <c:v>1923</c:v>
                </c:pt>
                <c:pt idx="61">
                  <c:v>1924</c:v>
                </c:pt>
                <c:pt idx="62">
                  <c:v>1925</c:v>
                </c:pt>
                <c:pt idx="63">
                  <c:v>1926</c:v>
                </c:pt>
                <c:pt idx="64">
                  <c:v>1927</c:v>
                </c:pt>
                <c:pt idx="65">
                  <c:v>1928</c:v>
                </c:pt>
                <c:pt idx="66">
                  <c:v>1929</c:v>
                </c:pt>
                <c:pt idx="67">
                  <c:v>1930</c:v>
                </c:pt>
                <c:pt idx="68">
                  <c:v>1931</c:v>
                </c:pt>
                <c:pt idx="69">
                  <c:v>1932</c:v>
                </c:pt>
                <c:pt idx="70">
                  <c:v>1933</c:v>
                </c:pt>
                <c:pt idx="71">
                  <c:v>1934</c:v>
                </c:pt>
                <c:pt idx="72">
                  <c:v>1935</c:v>
                </c:pt>
                <c:pt idx="73">
                  <c:v>1936</c:v>
                </c:pt>
                <c:pt idx="74">
                  <c:v>1937</c:v>
                </c:pt>
                <c:pt idx="75">
                  <c:v>1938</c:v>
                </c:pt>
                <c:pt idx="76">
                  <c:v>1939</c:v>
                </c:pt>
                <c:pt idx="77">
                  <c:v>1940</c:v>
                </c:pt>
                <c:pt idx="78">
                  <c:v>1941</c:v>
                </c:pt>
                <c:pt idx="79">
                  <c:v>1942</c:v>
                </c:pt>
                <c:pt idx="80">
                  <c:v>1943</c:v>
                </c:pt>
                <c:pt idx="81">
                  <c:v>1944</c:v>
                </c:pt>
                <c:pt idx="82">
                  <c:v>1945</c:v>
                </c:pt>
                <c:pt idx="83">
                  <c:v>1946</c:v>
                </c:pt>
                <c:pt idx="84">
                  <c:v>1947</c:v>
                </c:pt>
                <c:pt idx="85">
                  <c:v>1948</c:v>
                </c:pt>
                <c:pt idx="86">
                  <c:v>1949</c:v>
                </c:pt>
                <c:pt idx="87">
                  <c:v>1950</c:v>
                </c:pt>
                <c:pt idx="88">
                  <c:v>1951</c:v>
                </c:pt>
                <c:pt idx="89">
                  <c:v>1952</c:v>
                </c:pt>
                <c:pt idx="90">
                  <c:v>1953</c:v>
                </c:pt>
                <c:pt idx="91">
                  <c:v>1954</c:v>
                </c:pt>
                <c:pt idx="92">
                  <c:v>1955</c:v>
                </c:pt>
                <c:pt idx="93">
                  <c:v>1956</c:v>
                </c:pt>
                <c:pt idx="94">
                  <c:v>1957</c:v>
                </c:pt>
                <c:pt idx="95">
                  <c:v>1958</c:v>
                </c:pt>
                <c:pt idx="96">
                  <c:v>1959</c:v>
                </c:pt>
                <c:pt idx="97">
                  <c:v>1960</c:v>
                </c:pt>
                <c:pt idx="98">
                  <c:v>1961</c:v>
                </c:pt>
                <c:pt idx="99">
                  <c:v>1962</c:v>
                </c:pt>
                <c:pt idx="100">
                  <c:v>1963</c:v>
                </c:pt>
                <c:pt idx="101">
                  <c:v>1964</c:v>
                </c:pt>
                <c:pt idx="102">
                  <c:v>1965</c:v>
                </c:pt>
                <c:pt idx="103">
                  <c:v>1966</c:v>
                </c:pt>
                <c:pt idx="104">
                  <c:v>1967</c:v>
                </c:pt>
                <c:pt idx="105">
                  <c:v>1968</c:v>
                </c:pt>
                <c:pt idx="106">
                  <c:v>1969</c:v>
                </c:pt>
                <c:pt idx="107">
                  <c:v>1970</c:v>
                </c:pt>
                <c:pt idx="108">
                  <c:v>1971</c:v>
                </c:pt>
                <c:pt idx="109">
                  <c:v>1972</c:v>
                </c:pt>
                <c:pt idx="110">
                  <c:v>1973</c:v>
                </c:pt>
                <c:pt idx="111">
                  <c:v>1974</c:v>
                </c:pt>
                <c:pt idx="112">
                  <c:v>1975</c:v>
                </c:pt>
                <c:pt idx="113">
                  <c:v>1976</c:v>
                </c:pt>
                <c:pt idx="114">
                  <c:v>1977</c:v>
                </c:pt>
                <c:pt idx="115">
                  <c:v>1978</c:v>
                </c:pt>
                <c:pt idx="116">
                  <c:v>1979</c:v>
                </c:pt>
                <c:pt idx="117">
                  <c:v>1980</c:v>
                </c:pt>
                <c:pt idx="118">
                  <c:v>1981</c:v>
                </c:pt>
                <c:pt idx="119">
                  <c:v>1982</c:v>
                </c:pt>
                <c:pt idx="120">
                  <c:v>1983</c:v>
                </c:pt>
                <c:pt idx="121">
                  <c:v>1984</c:v>
                </c:pt>
                <c:pt idx="122">
                  <c:v>1985</c:v>
                </c:pt>
                <c:pt idx="123">
                  <c:v>1986</c:v>
                </c:pt>
                <c:pt idx="124">
                  <c:v>1987</c:v>
                </c:pt>
                <c:pt idx="125">
                  <c:v>1988</c:v>
                </c:pt>
                <c:pt idx="126">
                  <c:v>1989</c:v>
                </c:pt>
                <c:pt idx="127">
                  <c:v>1990</c:v>
                </c:pt>
                <c:pt idx="128">
                  <c:v>1991</c:v>
                </c:pt>
                <c:pt idx="129">
                  <c:v>1992</c:v>
                </c:pt>
                <c:pt idx="130">
                  <c:v>1993</c:v>
                </c:pt>
                <c:pt idx="131">
                  <c:v>1994</c:v>
                </c:pt>
                <c:pt idx="132">
                  <c:v>1995</c:v>
                </c:pt>
                <c:pt idx="133">
                  <c:v>1996</c:v>
                </c:pt>
                <c:pt idx="134">
                  <c:v>1997</c:v>
                </c:pt>
                <c:pt idx="135">
                  <c:v>1998</c:v>
                </c:pt>
                <c:pt idx="136">
                  <c:v>1999</c:v>
                </c:pt>
                <c:pt idx="137">
                  <c:v>2000</c:v>
                </c:pt>
                <c:pt idx="138">
                  <c:v>2001</c:v>
                </c:pt>
                <c:pt idx="139">
                  <c:v>2002</c:v>
                </c:pt>
                <c:pt idx="140">
                  <c:v>2003</c:v>
                </c:pt>
                <c:pt idx="141">
                  <c:v>2004</c:v>
                </c:pt>
                <c:pt idx="142">
                  <c:v>2005</c:v>
                </c:pt>
                <c:pt idx="143">
                  <c:v>2006</c:v>
                </c:pt>
                <c:pt idx="144">
                  <c:v>2007</c:v>
                </c:pt>
                <c:pt idx="145">
                  <c:v>2008</c:v>
                </c:pt>
                <c:pt idx="146">
                  <c:v>2009</c:v>
                </c:pt>
                <c:pt idx="147">
                  <c:v>2010</c:v>
                </c:pt>
                <c:pt idx="148">
                  <c:v>2011</c:v>
                </c:pt>
                <c:pt idx="149">
                  <c:v>2012</c:v>
                </c:pt>
                <c:pt idx="150">
                  <c:v>2013</c:v>
                </c:pt>
                <c:pt idx="151">
                  <c:v>2014</c:v>
                </c:pt>
                <c:pt idx="152">
                  <c:v>2015</c:v>
                </c:pt>
                <c:pt idx="153">
                  <c:v>2016</c:v>
                </c:pt>
                <c:pt idx="154">
                  <c:v>2017</c:v>
                </c:pt>
              </c:numCache>
            </c:numRef>
          </c:xVal>
          <c:yVal>
            <c:numRef>
              <c:f>MTkpbavg!$F$2:$F$156</c:f>
              <c:numCache>
                <c:formatCode>General</c:formatCode>
                <c:ptCount val="155"/>
                <c:pt idx="0">
                  <c:v>0.35000000000000003</c:v>
                </c:pt>
                <c:pt idx="1">
                  <c:v>0.47000000000000003</c:v>
                </c:pt>
                <c:pt idx="2">
                  <c:v>0.65000000000000013</c:v>
                </c:pt>
                <c:pt idx="3">
                  <c:v>2.17</c:v>
                </c:pt>
                <c:pt idx="4">
                  <c:v>1.87</c:v>
                </c:pt>
                <c:pt idx="5">
                  <c:v>1.84</c:v>
                </c:pt>
                <c:pt idx="6">
                  <c:v>1.3900000000000001</c:v>
                </c:pt>
                <c:pt idx="7">
                  <c:v>0.8600000000000001</c:v>
                </c:pt>
                <c:pt idx="8">
                  <c:v>1.08</c:v>
                </c:pt>
                <c:pt idx="9">
                  <c:v>0.70000000000000007</c:v>
                </c:pt>
                <c:pt idx="10">
                  <c:v>0.73000000000000009</c:v>
                </c:pt>
                <c:pt idx="11">
                  <c:v>1.2</c:v>
                </c:pt>
                <c:pt idx="12">
                  <c:v>1.33</c:v>
                </c:pt>
                <c:pt idx="13">
                  <c:v>1.37</c:v>
                </c:pt>
                <c:pt idx="14">
                  <c:v>1.1900000000000002</c:v>
                </c:pt>
                <c:pt idx="15">
                  <c:v>1.41</c:v>
                </c:pt>
                <c:pt idx="16">
                  <c:v>1.1900000000000002</c:v>
                </c:pt>
                <c:pt idx="17">
                  <c:v>1.3900000000000001</c:v>
                </c:pt>
                <c:pt idx="18">
                  <c:v>1.23</c:v>
                </c:pt>
                <c:pt idx="19">
                  <c:v>1.06</c:v>
                </c:pt>
                <c:pt idx="20">
                  <c:v>1.1399999999999997</c:v>
                </c:pt>
                <c:pt idx="21">
                  <c:v>1.27</c:v>
                </c:pt>
                <c:pt idx="22">
                  <c:v>1.32</c:v>
                </c:pt>
                <c:pt idx="23">
                  <c:v>2.0099999999999998</c:v>
                </c:pt>
                <c:pt idx="24">
                  <c:v>1.76</c:v>
                </c:pt>
                <c:pt idx="25">
                  <c:v>1.37</c:v>
                </c:pt>
                <c:pt idx="26">
                  <c:v>1.34</c:v>
                </c:pt>
                <c:pt idx="27">
                  <c:v>1.05</c:v>
                </c:pt>
                <c:pt idx="28">
                  <c:v>0.65000000000000013</c:v>
                </c:pt>
                <c:pt idx="29">
                  <c:v>0.44</c:v>
                </c:pt>
                <c:pt idx="30">
                  <c:v>0.58000000000000007</c:v>
                </c:pt>
                <c:pt idx="31">
                  <c:v>0.69000000000000006</c:v>
                </c:pt>
                <c:pt idx="32">
                  <c:v>0.46</c:v>
                </c:pt>
                <c:pt idx="33">
                  <c:v>0.53</c:v>
                </c:pt>
                <c:pt idx="34">
                  <c:v>0.72000000000000008</c:v>
                </c:pt>
                <c:pt idx="35">
                  <c:v>1.3800000000000001</c:v>
                </c:pt>
                <c:pt idx="36">
                  <c:v>1.25</c:v>
                </c:pt>
                <c:pt idx="37">
                  <c:v>0.6100000000000001</c:v>
                </c:pt>
                <c:pt idx="38">
                  <c:v>1.33</c:v>
                </c:pt>
                <c:pt idx="39">
                  <c:v>1.57</c:v>
                </c:pt>
                <c:pt idx="40">
                  <c:v>2.3699999999999997</c:v>
                </c:pt>
                <c:pt idx="41">
                  <c:v>1.41</c:v>
                </c:pt>
                <c:pt idx="42">
                  <c:v>1.54</c:v>
                </c:pt>
                <c:pt idx="43">
                  <c:v>1.3900000000000001</c:v>
                </c:pt>
                <c:pt idx="44">
                  <c:v>1.77</c:v>
                </c:pt>
                <c:pt idx="45">
                  <c:v>1.86</c:v>
                </c:pt>
                <c:pt idx="46">
                  <c:v>1.53</c:v>
                </c:pt>
                <c:pt idx="47">
                  <c:v>1.79</c:v>
                </c:pt>
                <c:pt idx="48">
                  <c:v>0.75000000000000011</c:v>
                </c:pt>
                <c:pt idx="49">
                  <c:v>1.3</c:v>
                </c:pt>
                <c:pt idx="50">
                  <c:v>1.1299999999999997</c:v>
                </c:pt>
                <c:pt idx="51">
                  <c:v>1.28</c:v>
                </c:pt>
                <c:pt idx="52">
                  <c:v>1.58</c:v>
                </c:pt>
                <c:pt idx="53">
                  <c:v>1.01</c:v>
                </c:pt>
                <c:pt idx="54">
                  <c:v>0.98</c:v>
                </c:pt>
                <c:pt idx="55">
                  <c:v>0.99</c:v>
                </c:pt>
                <c:pt idx="56">
                  <c:v>1.21</c:v>
                </c:pt>
                <c:pt idx="57">
                  <c:v>0.98</c:v>
                </c:pt>
                <c:pt idx="58">
                  <c:v>0.88</c:v>
                </c:pt>
                <c:pt idx="59">
                  <c:v>1.6400000000000001</c:v>
                </c:pt>
                <c:pt idx="60">
                  <c:v>0.98</c:v>
                </c:pt>
                <c:pt idx="61">
                  <c:v>1.1599999999999997</c:v>
                </c:pt>
                <c:pt idx="62">
                  <c:v>1.1000000000000001</c:v>
                </c:pt>
                <c:pt idx="63">
                  <c:v>1.02</c:v>
                </c:pt>
                <c:pt idx="64">
                  <c:v>0.92</c:v>
                </c:pt>
                <c:pt idx="65">
                  <c:v>1.1599999999999997</c:v>
                </c:pt>
                <c:pt idx="66">
                  <c:v>1.08</c:v>
                </c:pt>
                <c:pt idx="67">
                  <c:v>1.1800000000000002</c:v>
                </c:pt>
                <c:pt idx="68">
                  <c:v>0.83000000000000007</c:v>
                </c:pt>
                <c:pt idx="69">
                  <c:v>0.72000000000000008</c:v>
                </c:pt>
                <c:pt idx="70">
                  <c:v>1.06</c:v>
                </c:pt>
                <c:pt idx="71">
                  <c:v>1.1399999999999997</c:v>
                </c:pt>
                <c:pt idx="72">
                  <c:v>0.77000000000000013</c:v>
                </c:pt>
                <c:pt idx="73">
                  <c:v>0.56999999999999995</c:v>
                </c:pt>
                <c:pt idx="74">
                  <c:v>0.73000000000000009</c:v>
                </c:pt>
                <c:pt idx="75">
                  <c:v>0.78</c:v>
                </c:pt>
                <c:pt idx="76">
                  <c:v>0.87000000000000011</c:v>
                </c:pt>
                <c:pt idx="77">
                  <c:v>0.93</c:v>
                </c:pt>
                <c:pt idx="78">
                  <c:v>0.63000000000000012</c:v>
                </c:pt>
                <c:pt idx="79">
                  <c:v>0.77000000000000013</c:v>
                </c:pt>
                <c:pt idx="80">
                  <c:v>0.89</c:v>
                </c:pt>
                <c:pt idx="81">
                  <c:v>1.0900000000000001</c:v>
                </c:pt>
                <c:pt idx="82">
                  <c:v>1.21</c:v>
                </c:pt>
                <c:pt idx="83">
                  <c:v>1.21</c:v>
                </c:pt>
                <c:pt idx="84">
                  <c:v>1.44</c:v>
                </c:pt>
                <c:pt idx="85">
                  <c:v>1.23</c:v>
                </c:pt>
                <c:pt idx="86">
                  <c:v>1.1299999999999997</c:v>
                </c:pt>
                <c:pt idx="87">
                  <c:v>1.1800000000000002</c:v>
                </c:pt>
                <c:pt idx="88">
                  <c:v>0.51</c:v>
                </c:pt>
                <c:pt idx="89">
                  <c:v>0.30000000000000004</c:v>
                </c:pt>
                <c:pt idx="90">
                  <c:v>0.29000000000000004</c:v>
                </c:pt>
                <c:pt idx="91">
                  <c:v>0.48000000000000004</c:v>
                </c:pt>
                <c:pt idx="92">
                  <c:v>0.33000000000000007</c:v>
                </c:pt>
                <c:pt idx="93">
                  <c:v>0.77000000000000013</c:v>
                </c:pt>
                <c:pt idx="94">
                  <c:v>0.58000000000000007</c:v>
                </c:pt>
                <c:pt idx="95">
                  <c:v>0.94000000000000006</c:v>
                </c:pt>
                <c:pt idx="96">
                  <c:v>1.1000000000000001</c:v>
                </c:pt>
                <c:pt idx="97">
                  <c:v>1.31</c:v>
                </c:pt>
                <c:pt idx="98">
                  <c:v>1.3800000000000001</c:v>
                </c:pt>
                <c:pt idx="99">
                  <c:v>1</c:v>
                </c:pt>
                <c:pt idx="100">
                  <c:v>0.44</c:v>
                </c:pt>
                <c:pt idx="101">
                  <c:v>0.9</c:v>
                </c:pt>
                <c:pt idx="102">
                  <c:v>0.60000000000000009</c:v>
                </c:pt>
                <c:pt idx="103">
                  <c:v>0.56999999999999995</c:v>
                </c:pt>
                <c:pt idx="104">
                  <c:v>0.49000000000000005</c:v>
                </c:pt>
                <c:pt idx="105">
                  <c:v>0.5</c:v>
                </c:pt>
                <c:pt idx="106">
                  <c:v>0.75000000000000011</c:v>
                </c:pt>
                <c:pt idx="107">
                  <c:v>0.70000000000000007</c:v>
                </c:pt>
                <c:pt idx="108">
                  <c:v>0.85000000000000009</c:v>
                </c:pt>
                <c:pt idx="109">
                  <c:v>0.7400000000000001</c:v>
                </c:pt>
                <c:pt idx="110">
                  <c:v>1.1700000000000002</c:v>
                </c:pt>
                <c:pt idx="111">
                  <c:v>0.82000000000000006</c:v>
                </c:pt>
                <c:pt idx="112">
                  <c:v>0.78</c:v>
                </c:pt>
                <c:pt idx="113">
                  <c:v>0.68</c:v>
                </c:pt>
                <c:pt idx="114">
                  <c:v>0.34</c:v>
                </c:pt>
                <c:pt idx="115">
                  <c:v>0.68</c:v>
                </c:pt>
                <c:pt idx="116">
                  <c:v>0.8600000000000001</c:v>
                </c:pt>
                <c:pt idx="117">
                  <c:v>0.78</c:v>
                </c:pt>
                <c:pt idx="118">
                  <c:v>0.93</c:v>
                </c:pt>
                <c:pt idx="119">
                  <c:v>0.42000000000000004</c:v>
                </c:pt>
                <c:pt idx="120">
                  <c:v>0.55000000000000004</c:v>
                </c:pt>
                <c:pt idx="121">
                  <c:v>0.56999999999999995</c:v>
                </c:pt>
                <c:pt idx="122">
                  <c:v>0.52</c:v>
                </c:pt>
                <c:pt idx="123">
                  <c:v>0.44</c:v>
                </c:pt>
                <c:pt idx="124">
                  <c:v>0.39000000000000007</c:v>
                </c:pt>
                <c:pt idx="125">
                  <c:v>0.39000000000000007</c:v>
                </c:pt>
                <c:pt idx="126">
                  <c:v>0.43000000000000005</c:v>
                </c:pt>
                <c:pt idx="127">
                  <c:v>0.38000000000000006</c:v>
                </c:pt>
                <c:pt idx="128">
                  <c:v>0.23</c:v>
                </c:pt>
                <c:pt idx="129">
                  <c:v>0.42000000000000004</c:v>
                </c:pt>
                <c:pt idx="130">
                  <c:v>0.71000000000000008</c:v>
                </c:pt>
                <c:pt idx="131">
                  <c:v>0.69000000000000006</c:v>
                </c:pt>
                <c:pt idx="132">
                  <c:v>0.83000000000000007</c:v>
                </c:pt>
                <c:pt idx="133">
                  <c:v>0.76000000000000012</c:v>
                </c:pt>
                <c:pt idx="134">
                  <c:v>0.56000000000000005</c:v>
                </c:pt>
                <c:pt idx="135">
                  <c:v>0.45</c:v>
                </c:pt>
                <c:pt idx="136">
                  <c:v>0.38000000000000006</c:v>
                </c:pt>
                <c:pt idx="137">
                  <c:v>0.4</c:v>
                </c:pt>
                <c:pt idx="138">
                  <c:v>0.39000000000000007</c:v>
                </c:pt>
                <c:pt idx="139">
                  <c:v>0.5</c:v>
                </c:pt>
                <c:pt idx="140">
                  <c:v>0.5</c:v>
                </c:pt>
                <c:pt idx="141">
                  <c:v>0.28000000000000008</c:v>
                </c:pt>
                <c:pt idx="142">
                  <c:v>0.4</c:v>
                </c:pt>
                <c:pt idx="143">
                  <c:v>0.51</c:v>
                </c:pt>
                <c:pt idx="144">
                  <c:v>0.7400000000000001</c:v>
                </c:pt>
                <c:pt idx="145">
                  <c:v>0.58000000000000007</c:v>
                </c:pt>
                <c:pt idx="146">
                  <c:v>0.51</c:v>
                </c:pt>
                <c:pt idx="147">
                  <c:v>0.44</c:v>
                </c:pt>
                <c:pt idx="148">
                  <c:v>0.66000000000000014</c:v>
                </c:pt>
                <c:pt idx="149">
                  <c:v>0.59</c:v>
                </c:pt>
                <c:pt idx="150">
                  <c:v>0.70000000000000007</c:v>
                </c:pt>
                <c:pt idx="151">
                  <c:v>0.78</c:v>
                </c:pt>
                <c:pt idx="152">
                  <c:v>1.07</c:v>
                </c:pt>
                <c:pt idx="153">
                  <c:v>1.4</c:v>
                </c:pt>
                <c:pt idx="154">
                  <c:v>1.1499999999999997</c:v>
                </c:pt>
              </c:numCache>
            </c:numRef>
          </c:yVal>
          <c:smooth val="1"/>
        </c:ser>
        <c:ser>
          <c:idx val="1"/>
          <c:order val="1"/>
          <c:tx>
            <c:strRef>
              <c:f>MTkpbavg!$C$1</c:f>
              <c:strCache>
                <c:ptCount val="1"/>
                <c:pt idx="0">
                  <c:v>пожарная подсушина</c:v>
                </c:pt>
              </c:strCache>
            </c:strRef>
          </c:tx>
          <c:spPr>
            <a:ln w="12700">
              <a:solidFill>
                <a:srgbClr val="FF0000"/>
              </a:solidFill>
              <a:prstDash val="solid"/>
            </a:ln>
          </c:spPr>
          <c:marker>
            <c:symbol val="none"/>
          </c:marker>
          <c:dLbls>
            <c:showLegendKey val="1"/>
            <c:showVal val="1"/>
            <c:showCatName val="1"/>
            <c:showSerName val="1"/>
            <c:showPercent val="1"/>
            <c:showBubbleSize val="1"/>
            <c:showLeaderLines val="0"/>
          </c:dLbls>
          <c:xVal>
            <c:numRef>
              <c:f>MTkpbavg!$A$2:$A$156</c:f>
              <c:numCache>
                <c:formatCode>General</c:formatCode>
                <c:ptCount val="155"/>
                <c:pt idx="0">
                  <c:v>1863</c:v>
                </c:pt>
                <c:pt idx="1">
                  <c:v>1864</c:v>
                </c:pt>
                <c:pt idx="2">
                  <c:v>1865</c:v>
                </c:pt>
                <c:pt idx="3">
                  <c:v>1866</c:v>
                </c:pt>
                <c:pt idx="4">
                  <c:v>1867</c:v>
                </c:pt>
                <c:pt idx="5">
                  <c:v>1868</c:v>
                </c:pt>
                <c:pt idx="6">
                  <c:v>1869</c:v>
                </c:pt>
                <c:pt idx="7">
                  <c:v>1870</c:v>
                </c:pt>
                <c:pt idx="8">
                  <c:v>1871</c:v>
                </c:pt>
                <c:pt idx="9">
                  <c:v>1872</c:v>
                </c:pt>
                <c:pt idx="10">
                  <c:v>1873</c:v>
                </c:pt>
                <c:pt idx="11">
                  <c:v>1874</c:v>
                </c:pt>
                <c:pt idx="12">
                  <c:v>1875</c:v>
                </c:pt>
                <c:pt idx="13">
                  <c:v>1876</c:v>
                </c:pt>
                <c:pt idx="14">
                  <c:v>1877</c:v>
                </c:pt>
                <c:pt idx="15">
                  <c:v>1878</c:v>
                </c:pt>
                <c:pt idx="16">
                  <c:v>1879</c:v>
                </c:pt>
                <c:pt idx="17">
                  <c:v>1880</c:v>
                </c:pt>
                <c:pt idx="18">
                  <c:v>1881</c:v>
                </c:pt>
                <c:pt idx="19">
                  <c:v>1882</c:v>
                </c:pt>
                <c:pt idx="20">
                  <c:v>1883</c:v>
                </c:pt>
                <c:pt idx="21">
                  <c:v>1884</c:v>
                </c:pt>
                <c:pt idx="22">
                  <c:v>1885</c:v>
                </c:pt>
                <c:pt idx="23">
                  <c:v>1886</c:v>
                </c:pt>
                <c:pt idx="24">
                  <c:v>1887</c:v>
                </c:pt>
                <c:pt idx="25">
                  <c:v>1888</c:v>
                </c:pt>
                <c:pt idx="26">
                  <c:v>1889</c:v>
                </c:pt>
                <c:pt idx="27">
                  <c:v>1890</c:v>
                </c:pt>
                <c:pt idx="28">
                  <c:v>1891</c:v>
                </c:pt>
                <c:pt idx="29">
                  <c:v>1892</c:v>
                </c:pt>
                <c:pt idx="30">
                  <c:v>1893</c:v>
                </c:pt>
                <c:pt idx="31">
                  <c:v>1894</c:v>
                </c:pt>
                <c:pt idx="32">
                  <c:v>1895</c:v>
                </c:pt>
                <c:pt idx="33">
                  <c:v>1896</c:v>
                </c:pt>
                <c:pt idx="34">
                  <c:v>1897</c:v>
                </c:pt>
                <c:pt idx="35">
                  <c:v>1898</c:v>
                </c:pt>
                <c:pt idx="36">
                  <c:v>1899</c:v>
                </c:pt>
                <c:pt idx="37">
                  <c:v>1900</c:v>
                </c:pt>
                <c:pt idx="38">
                  <c:v>1901</c:v>
                </c:pt>
                <c:pt idx="39">
                  <c:v>1902</c:v>
                </c:pt>
                <c:pt idx="40">
                  <c:v>1903</c:v>
                </c:pt>
                <c:pt idx="41">
                  <c:v>1904</c:v>
                </c:pt>
                <c:pt idx="42">
                  <c:v>1905</c:v>
                </c:pt>
                <c:pt idx="43">
                  <c:v>1906</c:v>
                </c:pt>
                <c:pt idx="44">
                  <c:v>1907</c:v>
                </c:pt>
                <c:pt idx="45">
                  <c:v>1908</c:v>
                </c:pt>
                <c:pt idx="46">
                  <c:v>1909</c:v>
                </c:pt>
                <c:pt idx="47">
                  <c:v>1910</c:v>
                </c:pt>
                <c:pt idx="48">
                  <c:v>1911</c:v>
                </c:pt>
                <c:pt idx="49">
                  <c:v>1912</c:v>
                </c:pt>
                <c:pt idx="50">
                  <c:v>1913</c:v>
                </c:pt>
                <c:pt idx="51">
                  <c:v>1914</c:v>
                </c:pt>
                <c:pt idx="52">
                  <c:v>1915</c:v>
                </c:pt>
                <c:pt idx="53">
                  <c:v>1916</c:v>
                </c:pt>
                <c:pt idx="54">
                  <c:v>1917</c:v>
                </c:pt>
                <c:pt idx="55">
                  <c:v>1918</c:v>
                </c:pt>
                <c:pt idx="56">
                  <c:v>1919</c:v>
                </c:pt>
                <c:pt idx="57">
                  <c:v>1920</c:v>
                </c:pt>
                <c:pt idx="58">
                  <c:v>1921</c:v>
                </c:pt>
                <c:pt idx="59">
                  <c:v>1922</c:v>
                </c:pt>
                <c:pt idx="60">
                  <c:v>1923</c:v>
                </c:pt>
                <c:pt idx="61">
                  <c:v>1924</c:v>
                </c:pt>
                <c:pt idx="62">
                  <c:v>1925</c:v>
                </c:pt>
                <c:pt idx="63">
                  <c:v>1926</c:v>
                </c:pt>
                <c:pt idx="64">
                  <c:v>1927</c:v>
                </c:pt>
                <c:pt idx="65">
                  <c:v>1928</c:v>
                </c:pt>
                <c:pt idx="66">
                  <c:v>1929</c:v>
                </c:pt>
                <c:pt idx="67">
                  <c:v>1930</c:v>
                </c:pt>
                <c:pt idx="68">
                  <c:v>1931</c:v>
                </c:pt>
                <c:pt idx="69">
                  <c:v>1932</c:v>
                </c:pt>
                <c:pt idx="70">
                  <c:v>1933</c:v>
                </c:pt>
                <c:pt idx="71">
                  <c:v>1934</c:v>
                </c:pt>
                <c:pt idx="72">
                  <c:v>1935</c:v>
                </c:pt>
                <c:pt idx="73">
                  <c:v>1936</c:v>
                </c:pt>
                <c:pt idx="74">
                  <c:v>1937</c:v>
                </c:pt>
                <c:pt idx="75">
                  <c:v>1938</c:v>
                </c:pt>
                <c:pt idx="76">
                  <c:v>1939</c:v>
                </c:pt>
                <c:pt idx="77">
                  <c:v>1940</c:v>
                </c:pt>
                <c:pt idx="78">
                  <c:v>1941</c:v>
                </c:pt>
                <c:pt idx="79">
                  <c:v>1942</c:v>
                </c:pt>
                <c:pt idx="80">
                  <c:v>1943</c:v>
                </c:pt>
                <c:pt idx="81">
                  <c:v>1944</c:v>
                </c:pt>
                <c:pt idx="82">
                  <c:v>1945</c:v>
                </c:pt>
                <c:pt idx="83">
                  <c:v>1946</c:v>
                </c:pt>
                <c:pt idx="84">
                  <c:v>1947</c:v>
                </c:pt>
                <c:pt idx="85">
                  <c:v>1948</c:v>
                </c:pt>
                <c:pt idx="86">
                  <c:v>1949</c:v>
                </c:pt>
                <c:pt idx="87">
                  <c:v>1950</c:v>
                </c:pt>
                <c:pt idx="88">
                  <c:v>1951</c:v>
                </c:pt>
                <c:pt idx="89">
                  <c:v>1952</c:v>
                </c:pt>
                <c:pt idx="90">
                  <c:v>1953</c:v>
                </c:pt>
                <c:pt idx="91">
                  <c:v>1954</c:v>
                </c:pt>
                <c:pt idx="92">
                  <c:v>1955</c:v>
                </c:pt>
                <c:pt idx="93">
                  <c:v>1956</c:v>
                </c:pt>
                <c:pt idx="94">
                  <c:v>1957</c:v>
                </c:pt>
                <c:pt idx="95">
                  <c:v>1958</c:v>
                </c:pt>
                <c:pt idx="96">
                  <c:v>1959</c:v>
                </c:pt>
                <c:pt idx="97">
                  <c:v>1960</c:v>
                </c:pt>
                <c:pt idx="98">
                  <c:v>1961</c:v>
                </c:pt>
                <c:pt idx="99">
                  <c:v>1962</c:v>
                </c:pt>
                <c:pt idx="100">
                  <c:v>1963</c:v>
                </c:pt>
                <c:pt idx="101">
                  <c:v>1964</c:v>
                </c:pt>
                <c:pt idx="102">
                  <c:v>1965</c:v>
                </c:pt>
                <c:pt idx="103">
                  <c:v>1966</c:v>
                </c:pt>
                <c:pt idx="104">
                  <c:v>1967</c:v>
                </c:pt>
                <c:pt idx="105">
                  <c:v>1968</c:v>
                </c:pt>
                <c:pt idx="106">
                  <c:v>1969</c:v>
                </c:pt>
                <c:pt idx="107">
                  <c:v>1970</c:v>
                </c:pt>
                <c:pt idx="108">
                  <c:v>1971</c:v>
                </c:pt>
                <c:pt idx="109">
                  <c:v>1972</c:v>
                </c:pt>
                <c:pt idx="110">
                  <c:v>1973</c:v>
                </c:pt>
                <c:pt idx="111">
                  <c:v>1974</c:v>
                </c:pt>
                <c:pt idx="112">
                  <c:v>1975</c:v>
                </c:pt>
                <c:pt idx="113">
                  <c:v>1976</c:v>
                </c:pt>
                <c:pt idx="114">
                  <c:v>1977</c:v>
                </c:pt>
                <c:pt idx="115">
                  <c:v>1978</c:v>
                </c:pt>
                <c:pt idx="116">
                  <c:v>1979</c:v>
                </c:pt>
                <c:pt idx="117">
                  <c:v>1980</c:v>
                </c:pt>
                <c:pt idx="118">
                  <c:v>1981</c:v>
                </c:pt>
                <c:pt idx="119">
                  <c:v>1982</c:v>
                </c:pt>
                <c:pt idx="120">
                  <c:v>1983</c:v>
                </c:pt>
                <c:pt idx="121">
                  <c:v>1984</c:v>
                </c:pt>
                <c:pt idx="122">
                  <c:v>1985</c:v>
                </c:pt>
                <c:pt idx="123">
                  <c:v>1986</c:v>
                </c:pt>
                <c:pt idx="124">
                  <c:v>1987</c:v>
                </c:pt>
                <c:pt idx="125">
                  <c:v>1988</c:v>
                </c:pt>
                <c:pt idx="126">
                  <c:v>1989</c:v>
                </c:pt>
                <c:pt idx="127">
                  <c:v>1990</c:v>
                </c:pt>
                <c:pt idx="128">
                  <c:v>1991</c:v>
                </c:pt>
                <c:pt idx="129">
                  <c:v>1992</c:v>
                </c:pt>
                <c:pt idx="130">
                  <c:v>1993</c:v>
                </c:pt>
                <c:pt idx="131">
                  <c:v>1994</c:v>
                </c:pt>
                <c:pt idx="132">
                  <c:v>1995</c:v>
                </c:pt>
                <c:pt idx="133">
                  <c:v>1996</c:v>
                </c:pt>
                <c:pt idx="134">
                  <c:v>1997</c:v>
                </c:pt>
                <c:pt idx="135">
                  <c:v>1998</c:v>
                </c:pt>
                <c:pt idx="136">
                  <c:v>1999</c:v>
                </c:pt>
                <c:pt idx="137">
                  <c:v>2000</c:v>
                </c:pt>
                <c:pt idx="138">
                  <c:v>2001</c:v>
                </c:pt>
                <c:pt idx="139">
                  <c:v>2002</c:v>
                </c:pt>
                <c:pt idx="140">
                  <c:v>2003</c:v>
                </c:pt>
                <c:pt idx="141">
                  <c:v>2004</c:v>
                </c:pt>
                <c:pt idx="142">
                  <c:v>2005</c:v>
                </c:pt>
                <c:pt idx="143">
                  <c:v>2006</c:v>
                </c:pt>
                <c:pt idx="144">
                  <c:v>2007</c:v>
                </c:pt>
                <c:pt idx="145">
                  <c:v>2008</c:v>
                </c:pt>
                <c:pt idx="146">
                  <c:v>2009</c:v>
                </c:pt>
                <c:pt idx="147">
                  <c:v>2010</c:v>
                </c:pt>
                <c:pt idx="148">
                  <c:v>2011</c:v>
                </c:pt>
                <c:pt idx="149">
                  <c:v>2012</c:v>
                </c:pt>
                <c:pt idx="150">
                  <c:v>2013</c:v>
                </c:pt>
                <c:pt idx="151">
                  <c:v>2014</c:v>
                </c:pt>
                <c:pt idx="152">
                  <c:v>2015</c:v>
                </c:pt>
                <c:pt idx="153">
                  <c:v>2016</c:v>
                </c:pt>
                <c:pt idx="154">
                  <c:v>2017</c:v>
                </c:pt>
              </c:numCache>
            </c:numRef>
          </c:xVal>
          <c:yVal>
            <c:numRef>
              <c:f>MTkpbavg!$G$2:$G$156</c:f>
              <c:numCache>
                <c:formatCode>General</c:formatCode>
                <c:ptCount val="155"/>
                <c:pt idx="0">
                  <c:v>1.27</c:v>
                </c:pt>
                <c:pt idx="1">
                  <c:v>0.47000000000000003</c:v>
                </c:pt>
                <c:pt idx="2">
                  <c:v>0.7400000000000001</c:v>
                </c:pt>
                <c:pt idx="3">
                  <c:v>2.27</c:v>
                </c:pt>
                <c:pt idx="4">
                  <c:v>2.02</c:v>
                </c:pt>
                <c:pt idx="5">
                  <c:v>1.87</c:v>
                </c:pt>
                <c:pt idx="6">
                  <c:v>1.33</c:v>
                </c:pt>
                <c:pt idx="7">
                  <c:v>1.1200000000000001</c:v>
                </c:pt>
                <c:pt idx="8">
                  <c:v>1.49</c:v>
                </c:pt>
                <c:pt idx="9">
                  <c:v>0.94000000000000006</c:v>
                </c:pt>
                <c:pt idx="10">
                  <c:v>1.3800000000000001</c:v>
                </c:pt>
                <c:pt idx="11">
                  <c:v>1.59</c:v>
                </c:pt>
                <c:pt idx="12">
                  <c:v>1.79</c:v>
                </c:pt>
                <c:pt idx="13">
                  <c:v>2.0299999999999998</c:v>
                </c:pt>
                <c:pt idx="14">
                  <c:v>2.7600000000000002</c:v>
                </c:pt>
                <c:pt idx="15">
                  <c:v>1.9700000000000002</c:v>
                </c:pt>
                <c:pt idx="16">
                  <c:v>1.57</c:v>
                </c:pt>
                <c:pt idx="17">
                  <c:v>1.77</c:v>
                </c:pt>
                <c:pt idx="18">
                  <c:v>1.9100000000000001</c:v>
                </c:pt>
                <c:pt idx="19">
                  <c:v>0.98</c:v>
                </c:pt>
                <c:pt idx="20">
                  <c:v>1.1399999999999997</c:v>
                </c:pt>
                <c:pt idx="21">
                  <c:v>1.45</c:v>
                </c:pt>
                <c:pt idx="22">
                  <c:v>1.55</c:v>
                </c:pt>
                <c:pt idx="23">
                  <c:v>2.02</c:v>
                </c:pt>
                <c:pt idx="24">
                  <c:v>1.46</c:v>
                </c:pt>
                <c:pt idx="25">
                  <c:v>1.1200000000000001</c:v>
                </c:pt>
                <c:pt idx="26">
                  <c:v>1.44</c:v>
                </c:pt>
                <c:pt idx="27">
                  <c:v>0.96000000000000008</c:v>
                </c:pt>
                <c:pt idx="28">
                  <c:v>0.59</c:v>
                </c:pt>
                <c:pt idx="29">
                  <c:v>0.43000000000000005</c:v>
                </c:pt>
                <c:pt idx="30">
                  <c:v>0.52</c:v>
                </c:pt>
                <c:pt idx="31">
                  <c:v>0.55000000000000004</c:v>
                </c:pt>
                <c:pt idx="32">
                  <c:v>0.34</c:v>
                </c:pt>
                <c:pt idx="33">
                  <c:v>0.5</c:v>
                </c:pt>
                <c:pt idx="34">
                  <c:v>0.55000000000000004</c:v>
                </c:pt>
                <c:pt idx="35">
                  <c:v>1.22</c:v>
                </c:pt>
                <c:pt idx="36">
                  <c:v>1.26</c:v>
                </c:pt>
                <c:pt idx="37">
                  <c:v>0.70000000000000007</c:v>
                </c:pt>
                <c:pt idx="38">
                  <c:v>1.42</c:v>
                </c:pt>
                <c:pt idx="39">
                  <c:v>1.82</c:v>
                </c:pt>
                <c:pt idx="40">
                  <c:v>2.2799999999999998</c:v>
                </c:pt>
                <c:pt idx="41">
                  <c:v>1.33</c:v>
                </c:pt>
                <c:pt idx="42">
                  <c:v>1.86</c:v>
                </c:pt>
                <c:pt idx="43">
                  <c:v>1.51</c:v>
                </c:pt>
                <c:pt idx="44">
                  <c:v>1.9900000000000002</c:v>
                </c:pt>
                <c:pt idx="45">
                  <c:v>1.82</c:v>
                </c:pt>
                <c:pt idx="46">
                  <c:v>1.49</c:v>
                </c:pt>
                <c:pt idx="47">
                  <c:v>1.78</c:v>
                </c:pt>
                <c:pt idx="48">
                  <c:v>0.8</c:v>
                </c:pt>
                <c:pt idx="49">
                  <c:v>1.36</c:v>
                </c:pt>
                <c:pt idx="50">
                  <c:v>1.05</c:v>
                </c:pt>
                <c:pt idx="51">
                  <c:v>1.28</c:v>
                </c:pt>
                <c:pt idx="52">
                  <c:v>1.5</c:v>
                </c:pt>
                <c:pt idx="53">
                  <c:v>1</c:v>
                </c:pt>
                <c:pt idx="54">
                  <c:v>1.1900000000000002</c:v>
                </c:pt>
                <c:pt idx="55">
                  <c:v>0.98</c:v>
                </c:pt>
                <c:pt idx="56">
                  <c:v>1.0900000000000001</c:v>
                </c:pt>
                <c:pt idx="57">
                  <c:v>0.93</c:v>
                </c:pt>
                <c:pt idx="58">
                  <c:v>0.88</c:v>
                </c:pt>
                <c:pt idx="59">
                  <c:v>1.41</c:v>
                </c:pt>
                <c:pt idx="60">
                  <c:v>0.82000000000000006</c:v>
                </c:pt>
                <c:pt idx="61">
                  <c:v>1.1299999999999997</c:v>
                </c:pt>
                <c:pt idx="62">
                  <c:v>1.07</c:v>
                </c:pt>
                <c:pt idx="63">
                  <c:v>0.99</c:v>
                </c:pt>
                <c:pt idx="64">
                  <c:v>0.89</c:v>
                </c:pt>
                <c:pt idx="65">
                  <c:v>1.1399999999999997</c:v>
                </c:pt>
                <c:pt idx="66">
                  <c:v>0.91</c:v>
                </c:pt>
                <c:pt idx="67">
                  <c:v>1.33</c:v>
                </c:pt>
                <c:pt idx="68">
                  <c:v>0.65000000000000013</c:v>
                </c:pt>
                <c:pt idx="69">
                  <c:v>0.72000000000000008</c:v>
                </c:pt>
                <c:pt idx="70">
                  <c:v>0.97000000000000008</c:v>
                </c:pt>
                <c:pt idx="71">
                  <c:v>0.83000000000000007</c:v>
                </c:pt>
                <c:pt idx="72">
                  <c:v>0.55000000000000004</c:v>
                </c:pt>
                <c:pt idx="73">
                  <c:v>0.6100000000000001</c:v>
                </c:pt>
                <c:pt idx="74">
                  <c:v>0.6100000000000001</c:v>
                </c:pt>
                <c:pt idx="75">
                  <c:v>0.76000000000000012</c:v>
                </c:pt>
                <c:pt idx="76">
                  <c:v>0.69000000000000006</c:v>
                </c:pt>
                <c:pt idx="77">
                  <c:v>0.56000000000000005</c:v>
                </c:pt>
                <c:pt idx="78">
                  <c:v>0.48000000000000004</c:v>
                </c:pt>
                <c:pt idx="79">
                  <c:v>0.70000000000000007</c:v>
                </c:pt>
                <c:pt idx="80">
                  <c:v>0.72000000000000008</c:v>
                </c:pt>
                <c:pt idx="81">
                  <c:v>1.08</c:v>
                </c:pt>
                <c:pt idx="82">
                  <c:v>1.1000000000000001</c:v>
                </c:pt>
                <c:pt idx="83">
                  <c:v>1.05</c:v>
                </c:pt>
                <c:pt idx="84">
                  <c:v>1.1499999999999997</c:v>
                </c:pt>
                <c:pt idx="85">
                  <c:v>0.92</c:v>
                </c:pt>
                <c:pt idx="86">
                  <c:v>0.73000000000000009</c:v>
                </c:pt>
                <c:pt idx="87">
                  <c:v>1</c:v>
                </c:pt>
                <c:pt idx="88">
                  <c:v>0.34</c:v>
                </c:pt>
                <c:pt idx="89">
                  <c:v>0.24000000000000002</c:v>
                </c:pt>
                <c:pt idx="90">
                  <c:v>0.21000000000000002</c:v>
                </c:pt>
                <c:pt idx="91">
                  <c:v>0.38000000000000006</c:v>
                </c:pt>
                <c:pt idx="92">
                  <c:v>0.24000000000000002</c:v>
                </c:pt>
                <c:pt idx="93">
                  <c:v>0.58000000000000007</c:v>
                </c:pt>
                <c:pt idx="94">
                  <c:v>0.35000000000000003</c:v>
                </c:pt>
                <c:pt idx="95">
                  <c:v>0.49000000000000005</c:v>
                </c:pt>
                <c:pt idx="96">
                  <c:v>0.51</c:v>
                </c:pt>
                <c:pt idx="97">
                  <c:v>0.55000000000000004</c:v>
                </c:pt>
                <c:pt idx="98">
                  <c:v>0.51</c:v>
                </c:pt>
                <c:pt idx="99">
                  <c:v>0.5</c:v>
                </c:pt>
                <c:pt idx="100">
                  <c:v>0.30000000000000004</c:v>
                </c:pt>
                <c:pt idx="101">
                  <c:v>0.5</c:v>
                </c:pt>
                <c:pt idx="102">
                  <c:v>0.30000000000000004</c:v>
                </c:pt>
                <c:pt idx="103">
                  <c:v>0.30000000000000004</c:v>
                </c:pt>
                <c:pt idx="104">
                  <c:v>0.30000000000000004</c:v>
                </c:pt>
                <c:pt idx="105">
                  <c:v>0.33000000000000007</c:v>
                </c:pt>
                <c:pt idx="106">
                  <c:v>0.42000000000000004</c:v>
                </c:pt>
                <c:pt idx="107">
                  <c:v>0.35000000000000003</c:v>
                </c:pt>
                <c:pt idx="108">
                  <c:v>0.42000000000000004</c:v>
                </c:pt>
                <c:pt idx="109">
                  <c:v>0.37000000000000005</c:v>
                </c:pt>
                <c:pt idx="110">
                  <c:v>0.6100000000000001</c:v>
                </c:pt>
                <c:pt idx="111">
                  <c:v>0.43000000000000005</c:v>
                </c:pt>
                <c:pt idx="112">
                  <c:v>0.49000000000000005</c:v>
                </c:pt>
                <c:pt idx="113">
                  <c:v>0.44</c:v>
                </c:pt>
                <c:pt idx="114">
                  <c:v>0.26</c:v>
                </c:pt>
                <c:pt idx="115">
                  <c:v>0.47000000000000003</c:v>
                </c:pt>
                <c:pt idx="116">
                  <c:v>0.53</c:v>
                </c:pt>
                <c:pt idx="117">
                  <c:v>0.49000000000000005</c:v>
                </c:pt>
                <c:pt idx="118">
                  <c:v>0.56999999999999995</c:v>
                </c:pt>
                <c:pt idx="119">
                  <c:v>0.31000000000000005</c:v>
                </c:pt>
                <c:pt idx="120">
                  <c:v>0.42000000000000004</c:v>
                </c:pt>
                <c:pt idx="121">
                  <c:v>0.46</c:v>
                </c:pt>
                <c:pt idx="122">
                  <c:v>0.34</c:v>
                </c:pt>
                <c:pt idx="123">
                  <c:v>0.22</c:v>
                </c:pt>
                <c:pt idx="124">
                  <c:v>0.25</c:v>
                </c:pt>
                <c:pt idx="125">
                  <c:v>0.26</c:v>
                </c:pt>
                <c:pt idx="126">
                  <c:v>0.30000000000000004</c:v>
                </c:pt>
                <c:pt idx="127">
                  <c:v>0.33000000000000007</c:v>
                </c:pt>
                <c:pt idx="128">
                  <c:v>0.15000000000000002</c:v>
                </c:pt>
                <c:pt idx="129">
                  <c:v>0.28000000000000008</c:v>
                </c:pt>
                <c:pt idx="130">
                  <c:v>0.32000000000000006</c:v>
                </c:pt>
                <c:pt idx="131">
                  <c:v>0.25</c:v>
                </c:pt>
                <c:pt idx="132">
                  <c:v>0.32000000000000006</c:v>
                </c:pt>
                <c:pt idx="133">
                  <c:v>0.35000000000000003</c:v>
                </c:pt>
                <c:pt idx="134">
                  <c:v>0.29000000000000004</c:v>
                </c:pt>
                <c:pt idx="135">
                  <c:v>0.27</c:v>
                </c:pt>
                <c:pt idx="136">
                  <c:v>0.23</c:v>
                </c:pt>
                <c:pt idx="137">
                  <c:v>0.26</c:v>
                </c:pt>
                <c:pt idx="138">
                  <c:v>0.2</c:v>
                </c:pt>
                <c:pt idx="139">
                  <c:v>0.22</c:v>
                </c:pt>
                <c:pt idx="140">
                  <c:v>0.26</c:v>
                </c:pt>
                <c:pt idx="141">
                  <c:v>0.23</c:v>
                </c:pt>
                <c:pt idx="142">
                  <c:v>0.15000000000000002</c:v>
                </c:pt>
                <c:pt idx="143">
                  <c:v>0.15000000000000002</c:v>
                </c:pt>
                <c:pt idx="144">
                  <c:v>0.2</c:v>
                </c:pt>
                <c:pt idx="145">
                  <c:v>0.16</c:v>
                </c:pt>
                <c:pt idx="146">
                  <c:v>0.16</c:v>
                </c:pt>
                <c:pt idx="147">
                  <c:v>0.21000000000000002</c:v>
                </c:pt>
                <c:pt idx="148">
                  <c:v>0.17</c:v>
                </c:pt>
                <c:pt idx="149">
                  <c:v>0.14000000000000001</c:v>
                </c:pt>
                <c:pt idx="150">
                  <c:v>0.27</c:v>
                </c:pt>
                <c:pt idx="151">
                  <c:v>0.39000000000000007</c:v>
                </c:pt>
                <c:pt idx="152">
                  <c:v>0.58000000000000007</c:v>
                </c:pt>
                <c:pt idx="153">
                  <c:v>0.70000000000000007</c:v>
                </c:pt>
                <c:pt idx="154">
                  <c:v>0.56000000000000005</c:v>
                </c:pt>
              </c:numCache>
            </c:numRef>
          </c:yVal>
          <c:smooth val="1"/>
        </c:ser>
        <c:dLbls>
          <c:showLegendKey val="0"/>
          <c:showVal val="0"/>
          <c:showCatName val="0"/>
          <c:showSerName val="0"/>
          <c:showPercent val="0"/>
          <c:showBubbleSize val="0"/>
        </c:dLbls>
        <c:axId val="683190528"/>
        <c:axId val="684913024"/>
      </c:scatterChart>
      <c:valAx>
        <c:axId val="683190528"/>
        <c:scaling>
          <c:orientation val="minMax"/>
          <c:max val="2020"/>
          <c:min val="1860"/>
        </c:scaling>
        <c:delete val="1"/>
        <c:axPos val="b"/>
        <c:majorGridlines>
          <c:spPr>
            <a:ln>
              <a:solidFill>
                <a:schemeClr val="bg1">
                  <a:lumMod val="85000"/>
                </a:schemeClr>
              </a:solidFill>
            </a:ln>
          </c:spPr>
        </c:majorGridlines>
        <c:title>
          <c:tx>
            <c:rich>
              <a:bodyPr/>
              <a:lstStyle/>
              <a:p>
                <a:pPr>
                  <a:defRPr/>
                </a:pPr>
                <a:r>
                  <a:rPr lang="ru-RU"/>
                  <a:t>Годы</a:t>
                </a:r>
              </a:p>
            </c:rich>
          </c:tx>
          <c:layout>
            <c:manualLayout>
              <c:xMode val="edge"/>
              <c:yMode val="edge"/>
              <c:x val="0.93990039706575135"/>
              <c:y val="0.84055848689016954"/>
            </c:manualLayout>
          </c:layout>
          <c:overlay val="1"/>
        </c:title>
        <c:numFmt formatCode="General" sourceLinked="1"/>
        <c:majorTickMark val="cross"/>
        <c:minorTickMark val="cross"/>
        <c:tickLblPos val="nextTo"/>
        <c:crossAx val="684913024"/>
        <c:crosses val="autoZero"/>
        <c:crossBetween val="midCat"/>
        <c:majorUnit val="5"/>
      </c:valAx>
      <c:valAx>
        <c:axId val="684913024"/>
        <c:scaling>
          <c:orientation val="minMax"/>
          <c:max val="3"/>
          <c:min val="0"/>
        </c:scaling>
        <c:delete val="1"/>
        <c:axPos val="l"/>
        <c:majorGridlines>
          <c:spPr>
            <a:ln w="3175">
              <a:solidFill>
                <a:schemeClr val="bg1">
                  <a:lumMod val="85000"/>
                </a:schemeClr>
              </a:solidFill>
              <a:prstDash val="solid"/>
            </a:ln>
          </c:spPr>
        </c:majorGridlines>
        <c:title>
          <c:tx>
            <c:rich>
              <a:bodyPr rot="-5400000" vert="horz"/>
              <a:lstStyle/>
              <a:p>
                <a:pPr>
                  <a:defRPr/>
                </a:pPr>
                <a:r>
                  <a:rPr lang="ru-RU"/>
                  <a:t>Ширина годичного кольца, мм</a:t>
                </a:r>
              </a:p>
            </c:rich>
          </c:tx>
          <c:layout>
            <c:manualLayout>
              <c:xMode val="edge"/>
              <c:yMode val="edge"/>
              <c:x val="1.0375574432106764E-2"/>
              <c:y val="2.1061892403114423E-2"/>
            </c:manualLayout>
          </c:layout>
          <c:overlay val="1"/>
        </c:title>
        <c:numFmt formatCode="#,##0.0" sourceLinked="0"/>
        <c:majorTickMark val="cross"/>
        <c:minorTickMark val="cross"/>
        <c:tickLblPos val="nextTo"/>
        <c:crossAx val="683190528"/>
        <c:crosses val="autoZero"/>
        <c:crossBetween val="midCat"/>
        <c:majorUnit val="0.5"/>
        <c:minorUnit val="0.1"/>
      </c:valAx>
      <c:spPr>
        <a:solidFill>
          <a:schemeClr val="bg1">
            <a:lumMod val="95000"/>
            <a:alpha val="27000"/>
          </a:schemeClr>
        </a:solidFill>
        <a:ln w="12700">
          <a:noFill/>
          <a:prstDash val="solid"/>
        </a:ln>
      </c:spPr>
    </c:plotArea>
    <c:legend>
      <c:legendPos val="b"/>
      <c:overlay val="1"/>
    </c:legend>
    <c:plotVisOnly val="1"/>
    <c:dispBlanksAs val="gap"/>
    <c:showDLblsOverMax val="1"/>
  </c:chart>
  <c:spPr>
    <a:solidFill>
      <a:srgbClr val="FFFFFF"/>
    </a:solidFill>
    <a:ln w="9525">
      <a:noFill/>
    </a:ln>
  </c:spPr>
  <c:txPr>
    <a:bodyPr/>
    <a:lstStyle/>
    <a:p>
      <a:pPr>
        <a:defRPr sz="975"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79179602549684"/>
          <c:y val="5.0662070211029114E-2"/>
          <c:w val="0.87989777277840309"/>
          <c:h val="0.66308027534294067"/>
        </c:manualLayout>
      </c:layout>
      <c:lineChart>
        <c:grouping val="standard"/>
        <c:varyColors val="0"/>
        <c:ser>
          <c:idx val="0"/>
          <c:order val="0"/>
          <c:tx>
            <c:strRef>
              <c:f>'сравнение 2 сторон'!$L$2</c:f>
              <c:strCache>
                <c:ptCount val="1"/>
                <c:pt idx="0">
                  <c:v>без признаков пожарной подсушины</c:v>
                </c:pt>
              </c:strCache>
            </c:strRef>
          </c:tx>
          <c:spPr>
            <a:ln w="15868">
              <a:prstDash val="sysDash"/>
            </a:ln>
          </c:spPr>
          <c:marker>
            <c:symbol val="none"/>
          </c:marker>
          <c:cat>
            <c:numRef>
              <c:f>'сравнение 2 сторон'!$C$3:$C$91</c:f>
              <c:numCache>
                <c:formatCode>General</c:formatCode>
                <c:ptCount val="89"/>
                <c:pt idx="0">
                  <c:v>1929</c:v>
                </c:pt>
                <c:pt idx="1">
                  <c:v>1930</c:v>
                </c:pt>
                <c:pt idx="2">
                  <c:v>1931</c:v>
                </c:pt>
                <c:pt idx="3">
                  <c:v>1932</c:v>
                </c:pt>
                <c:pt idx="4">
                  <c:v>1933</c:v>
                </c:pt>
                <c:pt idx="5">
                  <c:v>1934</c:v>
                </c:pt>
                <c:pt idx="6">
                  <c:v>1935</c:v>
                </c:pt>
                <c:pt idx="7">
                  <c:v>1936</c:v>
                </c:pt>
                <c:pt idx="8">
                  <c:v>1937</c:v>
                </c:pt>
                <c:pt idx="9">
                  <c:v>1938</c:v>
                </c:pt>
                <c:pt idx="10">
                  <c:v>1939</c:v>
                </c:pt>
                <c:pt idx="11">
                  <c:v>1940</c:v>
                </c:pt>
                <c:pt idx="12">
                  <c:v>1941</c:v>
                </c:pt>
                <c:pt idx="13">
                  <c:v>1942</c:v>
                </c:pt>
                <c:pt idx="14">
                  <c:v>1943</c:v>
                </c:pt>
                <c:pt idx="15">
                  <c:v>1944</c:v>
                </c:pt>
                <c:pt idx="16">
                  <c:v>1945</c:v>
                </c:pt>
                <c:pt idx="17">
                  <c:v>1946</c:v>
                </c:pt>
                <c:pt idx="18">
                  <c:v>1947</c:v>
                </c:pt>
                <c:pt idx="19">
                  <c:v>1948</c:v>
                </c:pt>
                <c:pt idx="20">
                  <c:v>1949</c:v>
                </c:pt>
                <c:pt idx="21">
                  <c:v>1950</c:v>
                </c:pt>
                <c:pt idx="22">
                  <c:v>1951</c:v>
                </c:pt>
                <c:pt idx="23">
                  <c:v>1952</c:v>
                </c:pt>
                <c:pt idx="24">
                  <c:v>1953</c:v>
                </c:pt>
                <c:pt idx="25">
                  <c:v>1954</c:v>
                </c:pt>
                <c:pt idx="26">
                  <c:v>1955</c:v>
                </c:pt>
                <c:pt idx="27">
                  <c:v>1956</c:v>
                </c:pt>
                <c:pt idx="28">
                  <c:v>1957</c:v>
                </c:pt>
                <c:pt idx="29">
                  <c:v>1958</c:v>
                </c:pt>
                <c:pt idx="30">
                  <c:v>1959</c:v>
                </c:pt>
                <c:pt idx="31">
                  <c:v>1960</c:v>
                </c:pt>
                <c:pt idx="32">
                  <c:v>1961</c:v>
                </c:pt>
                <c:pt idx="33">
                  <c:v>1962</c:v>
                </c:pt>
                <c:pt idx="34">
                  <c:v>1963</c:v>
                </c:pt>
                <c:pt idx="35">
                  <c:v>1964</c:v>
                </c:pt>
                <c:pt idx="36">
                  <c:v>1965</c:v>
                </c:pt>
                <c:pt idx="37">
                  <c:v>1966</c:v>
                </c:pt>
                <c:pt idx="38">
                  <c:v>1967</c:v>
                </c:pt>
                <c:pt idx="39">
                  <c:v>1968</c:v>
                </c:pt>
                <c:pt idx="40">
                  <c:v>1969</c:v>
                </c:pt>
                <c:pt idx="41">
                  <c:v>1970</c:v>
                </c:pt>
                <c:pt idx="42">
                  <c:v>1971</c:v>
                </c:pt>
                <c:pt idx="43">
                  <c:v>1972</c:v>
                </c:pt>
                <c:pt idx="44">
                  <c:v>1973</c:v>
                </c:pt>
                <c:pt idx="45">
                  <c:v>1974</c:v>
                </c:pt>
                <c:pt idx="46">
                  <c:v>1975</c:v>
                </c:pt>
                <c:pt idx="47">
                  <c:v>1976</c:v>
                </c:pt>
                <c:pt idx="48">
                  <c:v>1977</c:v>
                </c:pt>
                <c:pt idx="49">
                  <c:v>1978</c:v>
                </c:pt>
                <c:pt idx="50">
                  <c:v>1979</c:v>
                </c:pt>
                <c:pt idx="51">
                  <c:v>1980</c:v>
                </c:pt>
                <c:pt idx="52">
                  <c:v>1981</c:v>
                </c:pt>
                <c:pt idx="53">
                  <c:v>1982</c:v>
                </c:pt>
                <c:pt idx="54">
                  <c:v>1983</c:v>
                </c:pt>
                <c:pt idx="55">
                  <c:v>1984</c:v>
                </c:pt>
                <c:pt idx="56">
                  <c:v>1985</c:v>
                </c:pt>
                <c:pt idx="57">
                  <c:v>1986</c:v>
                </c:pt>
                <c:pt idx="58">
                  <c:v>1987</c:v>
                </c:pt>
                <c:pt idx="59">
                  <c:v>1988</c:v>
                </c:pt>
                <c:pt idx="60">
                  <c:v>1989</c:v>
                </c:pt>
                <c:pt idx="61">
                  <c:v>1990</c:v>
                </c:pt>
                <c:pt idx="62">
                  <c:v>1991</c:v>
                </c:pt>
                <c:pt idx="63">
                  <c:v>1992</c:v>
                </c:pt>
                <c:pt idx="64">
                  <c:v>1993</c:v>
                </c:pt>
                <c:pt idx="65">
                  <c:v>1994</c:v>
                </c:pt>
                <c:pt idx="66">
                  <c:v>1995</c:v>
                </c:pt>
                <c:pt idx="67">
                  <c:v>1996</c:v>
                </c:pt>
                <c:pt idx="68">
                  <c:v>1997</c:v>
                </c:pt>
                <c:pt idx="69">
                  <c:v>1998</c:v>
                </c:pt>
                <c:pt idx="70">
                  <c:v>1999</c:v>
                </c:pt>
                <c:pt idx="71">
                  <c:v>2000</c:v>
                </c:pt>
                <c:pt idx="72">
                  <c:v>2001</c:v>
                </c:pt>
                <c:pt idx="73">
                  <c:v>2002</c:v>
                </c:pt>
                <c:pt idx="74">
                  <c:v>2003</c:v>
                </c:pt>
                <c:pt idx="75">
                  <c:v>2004</c:v>
                </c:pt>
                <c:pt idx="76">
                  <c:v>2005</c:v>
                </c:pt>
                <c:pt idx="77">
                  <c:v>2006</c:v>
                </c:pt>
                <c:pt idx="78">
                  <c:v>2007</c:v>
                </c:pt>
                <c:pt idx="79">
                  <c:v>2008</c:v>
                </c:pt>
                <c:pt idx="80">
                  <c:v>2009</c:v>
                </c:pt>
                <c:pt idx="81">
                  <c:v>2010</c:v>
                </c:pt>
                <c:pt idx="82">
                  <c:v>2011</c:v>
                </c:pt>
                <c:pt idx="83">
                  <c:v>2012</c:v>
                </c:pt>
                <c:pt idx="84">
                  <c:v>2013</c:v>
                </c:pt>
                <c:pt idx="85">
                  <c:v>2014</c:v>
                </c:pt>
                <c:pt idx="86">
                  <c:v>2015</c:v>
                </c:pt>
                <c:pt idx="87">
                  <c:v>2016</c:v>
                </c:pt>
                <c:pt idx="88">
                  <c:v>2017</c:v>
                </c:pt>
              </c:numCache>
            </c:numRef>
          </c:cat>
          <c:val>
            <c:numRef>
              <c:f>'сравнение 2 сторон'!$D$3:$D$91</c:f>
              <c:numCache>
                <c:formatCode>0.00</c:formatCode>
                <c:ptCount val="89"/>
                <c:pt idx="0">
                  <c:v>2.04</c:v>
                </c:pt>
                <c:pt idx="1">
                  <c:v>1.9333333333333333</c:v>
                </c:pt>
                <c:pt idx="2">
                  <c:v>1.47</c:v>
                </c:pt>
                <c:pt idx="3">
                  <c:v>1.3366666666666667</c:v>
                </c:pt>
                <c:pt idx="4">
                  <c:v>1.54</c:v>
                </c:pt>
                <c:pt idx="5">
                  <c:v>2.5175000000000001</c:v>
                </c:pt>
                <c:pt idx="6">
                  <c:v>3.1124999999999998</c:v>
                </c:pt>
                <c:pt idx="7">
                  <c:v>3.2900000000000005</c:v>
                </c:pt>
                <c:pt idx="8">
                  <c:v>3.51</c:v>
                </c:pt>
                <c:pt idx="9">
                  <c:v>2.7911111111111109</c:v>
                </c:pt>
                <c:pt idx="10">
                  <c:v>3.0979999999999999</c:v>
                </c:pt>
                <c:pt idx="11">
                  <c:v>3.3340000000000005</c:v>
                </c:pt>
                <c:pt idx="12">
                  <c:v>3.2759999999999998</c:v>
                </c:pt>
                <c:pt idx="13">
                  <c:v>2.8049999999999997</c:v>
                </c:pt>
                <c:pt idx="14">
                  <c:v>2.7391666666666672</c:v>
                </c:pt>
                <c:pt idx="15">
                  <c:v>2.2475000000000001</c:v>
                </c:pt>
                <c:pt idx="16">
                  <c:v>2.0925000000000002</c:v>
                </c:pt>
                <c:pt idx="17">
                  <c:v>2.2466666666666666</c:v>
                </c:pt>
                <c:pt idx="18">
                  <c:v>2.5558333333333336</c:v>
                </c:pt>
                <c:pt idx="19">
                  <c:v>2.6124999999999998</c:v>
                </c:pt>
                <c:pt idx="20">
                  <c:v>3.2233333333333332</c:v>
                </c:pt>
                <c:pt idx="21">
                  <c:v>2.7749999999999999</c:v>
                </c:pt>
                <c:pt idx="22">
                  <c:v>1.7608333333333333</c:v>
                </c:pt>
                <c:pt idx="23">
                  <c:v>1.5166666666666666</c:v>
                </c:pt>
                <c:pt idx="24">
                  <c:v>1.3708333333333333</c:v>
                </c:pt>
                <c:pt idx="25">
                  <c:v>1.3541666666666667</c:v>
                </c:pt>
                <c:pt idx="26">
                  <c:v>1.4958333333333336</c:v>
                </c:pt>
                <c:pt idx="27">
                  <c:v>1.4475</c:v>
                </c:pt>
                <c:pt idx="28">
                  <c:v>1.4241666666666666</c:v>
                </c:pt>
                <c:pt idx="29">
                  <c:v>1.5091666666666665</c:v>
                </c:pt>
                <c:pt idx="30">
                  <c:v>2.08</c:v>
                </c:pt>
                <c:pt idx="31">
                  <c:v>2.4558333333333331</c:v>
                </c:pt>
                <c:pt idx="32">
                  <c:v>2.710833333333333</c:v>
                </c:pt>
                <c:pt idx="33">
                  <c:v>2.645</c:v>
                </c:pt>
                <c:pt idx="34">
                  <c:v>2.3700000000000006</c:v>
                </c:pt>
                <c:pt idx="35">
                  <c:v>1.9266666666666667</c:v>
                </c:pt>
                <c:pt idx="36">
                  <c:v>1.8058333333333332</c:v>
                </c:pt>
                <c:pt idx="37">
                  <c:v>1.7615384615384615</c:v>
                </c:pt>
                <c:pt idx="38">
                  <c:v>1.5084615384615385</c:v>
                </c:pt>
                <c:pt idx="39">
                  <c:v>1.7292307692307689</c:v>
                </c:pt>
                <c:pt idx="40">
                  <c:v>1.88</c:v>
                </c:pt>
                <c:pt idx="41">
                  <c:v>2.0907692307692312</c:v>
                </c:pt>
                <c:pt idx="42">
                  <c:v>2.2284615384615383</c:v>
                </c:pt>
                <c:pt idx="43">
                  <c:v>2.223846153846154</c:v>
                </c:pt>
                <c:pt idx="44">
                  <c:v>2.0023076923076921</c:v>
                </c:pt>
                <c:pt idx="45">
                  <c:v>1.6435714285714287</c:v>
                </c:pt>
                <c:pt idx="46">
                  <c:v>1.6346666666666667</c:v>
                </c:pt>
                <c:pt idx="47">
                  <c:v>1.4681249999999999</c:v>
                </c:pt>
                <c:pt idx="48">
                  <c:v>1.667647058823529</c:v>
                </c:pt>
                <c:pt idx="49">
                  <c:v>1.9788235294117651</c:v>
                </c:pt>
                <c:pt idx="50">
                  <c:v>2.23764705882353</c:v>
                </c:pt>
                <c:pt idx="51">
                  <c:v>2.1141176470588232</c:v>
                </c:pt>
                <c:pt idx="52">
                  <c:v>2.14</c:v>
                </c:pt>
                <c:pt idx="53">
                  <c:v>1.7847058823529411</c:v>
                </c:pt>
                <c:pt idx="54">
                  <c:v>1.8427777777777778</c:v>
                </c:pt>
                <c:pt idx="55">
                  <c:v>1.6900000000000002</c:v>
                </c:pt>
                <c:pt idx="56">
                  <c:v>1.6138888888888892</c:v>
                </c:pt>
                <c:pt idx="57">
                  <c:v>1.6016666666666663</c:v>
                </c:pt>
                <c:pt idx="58">
                  <c:v>1.6677777777777778</c:v>
                </c:pt>
                <c:pt idx="59">
                  <c:v>1.7783333333333333</c:v>
                </c:pt>
                <c:pt idx="60">
                  <c:v>1.7705555555555557</c:v>
                </c:pt>
                <c:pt idx="61">
                  <c:v>1.8961111111111113</c:v>
                </c:pt>
                <c:pt idx="62">
                  <c:v>1.6177777777777775</c:v>
                </c:pt>
                <c:pt idx="63">
                  <c:v>1.6238888888888889</c:v>
                </c:pt>
                <c:pt idx="64">
                  <c:v>1.6177777777777778</c:v>
                </c:pt>
                <c:pt idx="65">
                  <c:v>1.5155555555555553</c:v>
                </c:pt>
                <c:pt idx="66">
                  <c:v>1.6711111111111112</c:v>
                </c:pt>
                <c:pt idx="67">
                  <c:v>1.3533333333333335</c:v>
                </c:pt>
                <c:pt idx="68">
                  <c:v>0.96444444444444444</c:v>
                </c:pt>
                <c:pt idx="69">
                  <c:v>0.69111111111111123</c:v>
                </c:pt>
                <c:pt idx="70">
                  <c:v>0.4694444444444445</c:v>
                </c:pt>
                <c:pt idx="71">
                  <c:v>0.51055555555555565</c:v>
                </c:pt>
                <c:pt idx="72">
                  <c:v>0.61944444444444446</c:v>
                </c:pt>
                <c:pt idx="73">
                  <c:v>0.71333333333333337</c:v>
                </c:pt>
                <c:pt idx="74">
                  <c:v>0.64444444444444449</c:v>
                </c:pt>
                <c:pt idx="75">
                  <c:v>0.64555555555555555</c:v>
                </c:pt>
                <c:pt idx="76">
                  <c:v>0.7566666666666666</c:v>
                </c:pt>
                <c:pt idx="77">
                  <c:v>0.86777777777777776</c:v>
                </c:pt>
                <c:pt idx="78">
                  <c:v>1.0177777777777779</c:v>
                </c:pt>
                <c:pt idx="79">
                  <c:v>0.88444444444444459</c:v>
                </c:pt>
                <c:pt idx="80">
                  <c:v>0.81833333333333336</c:v>
                </c:pt>
                <c:pt idx="81">
                  <c:v>0.85055555555555573</c:v>
                </c:pt>
                <c:pt idx="82">
                  <c:v>0.91500000000000015</c:v>
                </c:pt>
                <c:pt idx="83">
                  <c:v>1.0527777777777778</c:v>
                </c:pt>
                <c:pt idx="84">
                  <c:v>1.2005555555555556</c:v>
                </c:pt>
                <c:pt idx="85">
                  <c:v>1.5766666666666667</c:v>
                </c:pt>
                <c:pt idx="86">
                  <c:v>1.7361111111111107</c:v>
                </c:pt>
                <c:pt idx="87">
                  <c:v>2.1094444444444442</c:v>
                </c:pt>
                <c:pt idx="88">
                  <c:v>1.8805555555555555</c:v>
                </c:pt>
              </c:numCache>
            </c:numRef>
          </c:val>
          <c:smooth val="0"/>
        </c:ser>
        <c:ser>
          <c:idx val="1"/>
          <c:order val="1"/>
          <c:tx>
            <c:strRef>
              <c:f>'сравнение 2 сторон'!$M$2</c:f>
              <c:strCache>
                <c:ptCount val="1"/>
                <c:pt idx="0">
                  <c:v>пожарная подсушина</c:v>
                </c:pt>
              </c:strCache>
            </c:strRef>
          </c:tx>
          <c:spPr>
            <a:ln w="15868"/>
          </c:spPr>
          <c:marker>
            <c:symbol val="none"/>
          </c:marker>
          <c:cat>
            <c:numRef>
              <c:f>'сравнение 2 сторон'!$C$3:$C$91</c:f>
              <c:numCache>
                <c:formatCode>General</c:formatCode>
                <c:ptCount val="89"/>
                <c:pt idx="0">
                  <c:v>1929</c:v>
                </c:pt>
                <c:pt idx="1">
                  <c:v>1930</c:v>
                </c:pt>
                <c:pt idx="2">
                  <c:v>1931</c:v>
                </c:pt>
                <c:pt idx="3">
                  <c:v>1932</c:v>
                </c:pt>
                <c:pt idx="4">
                  <c:v>1933</c:v>
                </c:pt>
                <c:pt idx="5">
                  <c:v>1934</c:v>
                </c:pt>
                <c:pt idx="6">
                  <c:v>1935</c:v>
                </c:pt>
                <c:pt idx="7">
                  <c:v>1936</c:v>
                </c:pt>
                <c:pt idx="8">
                  <c:v>1937</c:v>
                </c:pt>
                <c:pt idx="9">
                  <c:v>1938</c:v>
                </c:pt>
                <c:pt idx="10">
                  <c:v>1939</c:v>
                </c:pt>
                <c:pt idx="11">
                  <c:v>1940</c:v>
                </c:pt>
                <c:pt idx="12">
                  <c:v>1941</c:v>
                </c:pt>
                <c:pt idx="13">
                  <c:v>1942</c:v>
                </c:pt>
                <c:pt idx="14">
                  <c:v>1943</c:v>
                </c:pt>
                <c:pt idx="15">
                  <c:v>1944</c:v>
                </c:pt>
                <c:pt idx="16">
                  <c:v>1945</c:v>
                </c:pt>
                <c:pt idx="17">
                  <c:v>1946</c:v>
                </c:pt>
                <c:pt idx="18">
                  <c:v>1947</c:v>
                </c:pt>
                <c:pt idx="19">
                  <c:v>1948</c:v>
                </c:pt>
                <c:pt idx="20">
                  <c:v>1949</c:v>
                </c:pt>
                <c:pt idx="21">
                  <c:v>1950</c:v>
                </c:pt>
                <c:pt idx="22">
                  <c:v>1951</c:v>
                </c:pt>
                <c:pt idx="23">
                  <c:v>1952</c:v>
                </c:pt>
                <c:pt idx="24">
                  <c:v>1953</c:v>
                </c:pt>
                <c:pt idx="25">
                  <c:v>1954</c:v>
                </c:pt>
                <c:pt idx="26">
                  <c:v>1955</c:v>
                </c:pt>
                <c:pt idx="27">
                  <c:v>1956</c:v>
                </c:pt>
                <c:pt idx="28">
                  <c:v>1957</c:v>
                </c:pt>
                <c:pt idx="29">
                  <c:v>1958</c:v>
                </c:pt>
                <c:pt idx="30">
                  <c:v>1959</c:v>
                </c:pt>
                <c:pt idx="31">
                  <c:v>1960</c:v>
                </c:pt>
                <c:pt idx="32">
                  <c:v>1961</c:v>
                </c:pt>
                <c:pt idx="33">
                  <c:v>1962</c:v>
                </c:pt>
                <c:pt idx="34">
                  <c:v>1963</c:v>
                </c:pt>
                <c:pt idx="35">
                  <c:v>1964</c:v>
                </c:pt>
                <c:pt idx="36">
                  <c:v>1965</c:v>
                </c:pt>
                <c:pt idx="37">
                  <c:v>1966</c:v>
                </c:pt>
                <c:pt idx="38">
                  <c:v>1967</c:v>
                </c:pt>
                <c:pt idx="39">
                  <c:v>1968</c:v>
                </c:pt>
                <c:pt idx="40">
                  <c:v>1969</c:v>
                </c:pt>
                <c:pt idx="41">
                  <c:v>1970</c:v>
                </c:pt>
                <c:pt idx="42">
                  <c:v>1971</c:v>
                </c:pt>
                <c:pt idx="43">
                  <c:v>1972</c:v>
                </c:pt>
                <c:pt idx="44">
                  <c:v>1973</c:v>
                </c:pt>
                <c:pt idx="45">
                  <c:v>1974</c:v>
                </c:pt>
                <c:pt idx="46">
                  <c:v>1975</c:v>
                </c:pt>
                <c:pt idx="47">
                  <c:v>1976</c:v>
                </c:pt>
                <c:pt idx="48">
                  <c:v>1977</c:v>
                </c:pt>
                <c:pt idx="49">
                  <c:v>1978</c:v>
                </c:pt>
                <c:pt idx="50">
                  <c:v>1979</c:v>
                </c:pt>
                <c:pt idx="51">
                  <c:v>1980</c:v>
                </c:pt>
                <c:pt idx="52">
                  <c:v>1981</c:v>
                </c:pt>
                <c:pt idx="53">
                  <c:v>1982</c:v>
                </c:pt>
                <c:pt idx="54">
                  <c:v>1983</c:v>
                </c:pt>
                <c:pt idx="55">
                  <c:v>1984</c:v>
                </c:pt>
                <c:pt idx="56">
                  <c:v>1985</c:v>
                </c:pt>
                <c:pt idx="57">
                  <c:v>1986</c:v>
                </c:pt>
                <c:pt idx="58">
                  <c:v>1987</c:v>
                </c:pt>
                <c:pt idx="59">
                  <c:v>1988</c:v>
                </c:pt>
                <c:pt idx="60">
                  <c:v>1989</c:v>
                </c:pt>
                <c:pt idx="61">
                  <c:v>1990</c:v>
                </c:pt>
                <c:pt idx="62">
                  <c:v>1991</c:v>
                </c:pt>
                <c:pt idx="63">
                  <c:v>1992</c:v>
                </c:pt>
                <c:pt idx="64">
                  <c:v>1993</c:v>
                </c:pt>
                <c:pt idx="65">
                  <c:v>1994</c:v>
                </c:pt>
                <c:pt idx="66">
                  <c:v>1995</c:v>
                </c:pt>
                <c:pt idx="67">
                  <c:v>1996</c:v>
                </c:pt>
                <c:pt idx="68">
                  <c:v>1997</c:v>
                </c:pt>
                <c:pt idx="69">
                  <c:v>1998</c:v>
                </c:pt>
                <c:pt idx="70">
                  <c:v>1999</c:v>
                </c:pt>
                <c:pt idx="71">
                  <c:v>2000</c:v>
                </c:pt>
                <c:pt idx="72">
                  <c:v>2001</c:v>
                </c:pt>
                <c:pt idx="73">
                  <c:v>2002</c:v>
                </c:pt>
                <c:pt idx="74">
                  <c:v>2003</c:v>
                </c:pt>
                <c:pt idx="75">
                  <c:v>2004</c:v>
                </c:pt>
                <c:pt idx="76">
                  <c:v>2005</c:v>
                </c:pt>
                <c:pt idx="77">
                  <c:v>2006</c:v>
                </c:pt>
                <c:pt idx="78">
                  <c:v>2007</c:v>
                </c:pt>
                <c:pt idx="79">
                  <c:v>2008</c:v>
                </c:pt>
                <c:pt idx="80">
                  <c:v>2009</c:v>
                </c:pt>
                <c:pt idx="81">
                  <c:v>2010</c:v>
                </c:pt>
                <c:pt idx="82">
                  <c:v>2011</c:v>
                </c:pt>
                <c:pt idx="83">
                  <c:v>2012</c:v>
                </c:pt>
                <c:pt idx="84">
                  <c:v>2013</c:v>
                </c:pt>
                <c:pt idx="85">
                  <c:v>2014</c:v>
                </c:pt>
                <c:pt idx="86">
                  <c:v>2015</c:v>
                </c:pt>
                <c:pt idx="87">
                  <c:v>2016</c:v>
                </c:pt>
                <c:pt idx="88">
                  <c:v>2017</c:v>
                </c:pt>
              </c:numCache>
            </c:numRef>
          </c:cat>
          <c:val>
            <c:numRef>
              <c:f>'сравнение 2 сторон'!$E$3:$E$91</c:f>
              <c:numCache>
                <c:formatCode>General</c:formatCode>
                <c:ptCount val="89"/>
                <c:pt idx="2" formatCode="0.00">
                  <c:v>1.27</c:v>
                </c:pt>
                <c:pt idx="3" formatCode="0.00">
                  <c:v>1.3224999999999998</c:v>
                </c:pt>
                <c:pt idx="4" formatCode="0.00">
                  <c:v>1.9099999999999997</c:v>
                </c:pt>
                <c:pt idx="5" formatCode="0.00">
                  <c:v>2.0780000000000003</c:v>
                </c:pt>
                <c:pt idx="6" formatCode="0.00">
                  <c:v>3.07</c:v>
                </c:pt>
                <c:pt idx="7" formatCode="0.00">
                  <c:v>2.2214285714285711</c:v>
                </c:pt>
                <c:pt idx="8" formatCode="0.00">
                  <c:v>2.8514285714285714</c:v>
                </c:pt>
                <c:pt idx="9" formatCode="0.00">
                  <c:v>2.5524999999999998</c:v>
                </c:pt>
                <c:pt idx="10" formatCode="0.00">
                  <c:v>3.3733333333333335</c:v>
                </c:pt>
                <c:pt idx="11" formatCode="0.00">
                  <c:v>3.1949999999999998</c:v>
                </c:pt>
                <c:pt idx="12" formatCode="0.00">
                  <c:v>2.9669999999999996</c:v>
                </c:pt>
                <c:pt idx="13" formatCode="0.00">
                  <c:v>2.4649999999999999</c:v>
                </c:pt>
                <c:pt idx="14" formatCode="0.00">
                  <c:v>2.5379999999999998</c:v>
                </c:pt>
                <c:pt idx="15" formatCode="0.00">
                  <c:v>2.9650000000000003</c:v>
                </c:pt>
                <c:pt idx="16" formatCode="0.00">
                  <c:v>2.9470000000000001</c:v>
                </c:pt>
                <c:pt idx="17" formatCode="0.00">
                  <c:v>2.9045454545454548</c:v>
                </c:pt>
                <c:pt idx="18" formatCode="0.00">
                  <c:v>3.2309090909090914</c:v>
                </c:pt>
                <c:pt idx="19" formatCode="0.00">
                  <c:v>3.3663636363636367</c:v>
                </c:pt>
                <c:pt idx="20" formatCode="0.00">
                  <c:v>3.0263636363636368</c:v>
                </c:pt>
                <c:pt idx="21" formatCode="0.00">
                  <c:v>2.4554545454545451</c:v>
                </c:pt>
                <c:pt idx="22" formatCode="0.00">
                  <c:v>1.847272727272727</c:v>
                </c:pt>
                <c:pt idx="23" formatCode="0.00">
                  <c:v>1.82</c:v>
                </c:pt>
                <c:pt idx="24" formatCode="0.00">
                  <c:v>1.4454545454545453</c:v>
                </c:pt>
                <c:pt idx="25" formatCode="0.00">
                  <c:v>1.5181818181818181</c:v>
                </c:pt>
                <c:pt idx="26" formatCode="0.00">
                  <c:v>1.4454545454545455</c:v>
                </c:pt>
                <c:pt idx="27" formatCode="0.00">
                  <c:v>1.4881818181818181</c:v>
                </c:pt>
                <c:pt idx="28" formatCode="0.00">
                  <c:v>1.32</c:v>
                </c:pt>
                <c:pt idx="29" formatCode="0.00">
                  <c:v>1.3409090909090908</c:v>
                </c:pt>
                <c:pt idx="30" formatCode="0.00">
                  <c:v>2.3966666666666669</c:v>
                </c:pt>
                <c:pt idx="31" formatCode="0.00">
                  <c:v>2.21</c:v>
                </c:pt>
                <c:pt idx="32" formatCode="0.00">
                  <c:v>2.5099999999999998</c:v>
                </c:pt>
                <c:pt idx="33" formatCode="0.00">
                  <c:v>2.7224999999999997</c:v>
                </c:pt>
                <c:pt idx="34" formatCode="0.00">
                  <c:v>1.7158333333333333</c:v>
                </c:pt>
                <c:pt idx="35" formatCode="0.00">
                  <c:v>1.8316666666666668</c:v>
                </c:pt>
                <c:pt idx="36" formatCode="0.00">
                  <c:v>1.75</c:v>
                </c:pt>
                <c:pt idx="37" formatCode="0.00">
                  <c:v>1.56</c:v>
                </c:pt>
                <c:pt idx="38" formatCode="0.00">
                  <c:v>1.62</c:v>
                </c:pt>
                <c:pt idx="39" formatCode="0.00">
                  <c:v>1.9649999999999999</c:v>
                </c:pt>
                <c:pt idx="40" formatCode="0.00">
                  <c:v>1.7233333333333334</c:v>
                </c:pt>
                <c:pt idx="41" formatCode="0.00">
                  <c:v>2.125833333333333</c:v>
                </c:pt>
                <c:pt idx="42" formatCode="0.00">
                  <c:v>2.4316666666666671</c:v>
                </c:pt>
                <c:pt idx="43" formatCode="0.00">
                  <c:v>2.5458333333333334</c:v>
                </c:pt>
                <c:pt idx="44" formatCode="0.00">
                  <c:v>2.2285714285714291</c:v>
                </c:pt>
                <c:pt idx="45" formatCode="0.00">
                  <c:v>1.457857142857143</c:v>
                </c:pt>
                <c:pt idx="46" formatCode="0.00">
                  <c:v>1.56</c:v>
                </c:pt>
                <c:pt idx="47" formatCode="0.00">
                  <c:v>1.482</c:v>
                </c:pt>
                <c:pt idx="48" formatCode="0.00">
                  <c:v>1.49</c:v>
                </c:pt>
                <c:pt idx="49" formatCode="0.00">
                  <c:v>1.83</c:v>
                </c:pt>
                <c:pt idx="50" formatCode="0.00">
                  <c:v>2.0699999999999998</c:v>
                </c:pt>
                <c:pt idx="51" formatCode="0.00">
                  <c:v>1.89</c:v>
                </c:pt>
                <c:pt idx="52" formatCode="0.00">
                  <c:v>2.1517647058823535</c:v>
                </c:pt>
                <c:pt idx="53" formatCode="0.00">
                  <c:v>2.0023529411764711</c:v>
                </c:pt>
                <c:pt idx="54" formatCode="0.00">
                  <c:v>1.8100000000000003</c:v>
                </c:pt>
                <c:pt idx="55" formatCode="0.00">
                  <c:v>1.5352941176470589</c:v>
                </c:pt>
                <c:pt idx="56" formatCode="0.00">
                  <c:v>1.4882352941176471</c:v>
                </c:pt>
                <c:pt idx="57" formatCode="0.00">
                  <c:v>1.5847058823529405</c:v>
                </c:pt>
                <c:pt idx="58" formatCode="0.00">
                  <c:v>1.6894117647058824</c:v>
                </c:pt>
                <c:pt idx="59" formatCode="0.00">
                  <c:v>1.68</c:v>
                </c:pt>
                <c:pt idx="60" formatCode="0.00">
                  <c:v>1.8135294117647058</c:v>
                </c:pt>
                <c:pt idx="61" formatCode="0.00">
                  <c:v>1.7070588235294115</c:v>
                </c:pt>
                <c:pt idx="62" formatCode="0.00">
                  <c:v>1.578823529411765</c:v>
                </c:pt>
                <c:pt idx="63" formatCode="0.00">
                  <c:v>1.7129411764705882</c:v>
                </c:pt>
                <c:pt idx="64" formatCode="0.00">
                  <c:v>1.8470588235294116</c:v>
                </c:pt>
                <c:pt idx="65" formatCode="0.00">
                  <c:v>1.5776470588235296</c:v>
                </c:pt>
                <c:pt idx="66" formatCode="0.00">
                  <c:v>1.8582352941176474</c:v>
                </c:pt>
                <c:pt idx="67" formatCode="0.00">
                  <c:v>1.3735294117647059</c:v>
                </c:pt>
                <c:pt idx="68" formatCode="0.00">
                  <c:v>0.93882352941176483</c:v>
                </c:pt>
                <c:pt idx="69" formatCode="0.00">
                  <c:v>0.60058823529411764</c:v>
                </c:pt>
                <c:pt idx="70" formatCode="0.00">
                  <c:v>0.41529411764705887</c:v>
                </c:pt>
                <c:pt idx="71" formatCode="0.00">
                  <c:v>0.43647058823529411</c:v>
                </c:pt>
                <c:pt idx="72" formatCode="0.00">
                  <c:v>0.57058823529411773</c:v>
                </c:pt>
                <c:pt idx="73" formatCode="0.00">
                  <c:v>0.65999999999999992</c:v>
                </c:pt>
                <c:pt idx="74" formatCode="0.00">
                  <c:v>0.6164705882352941</c:v>
                </c:pt>
                <c:pt idx="75" formatCode="0.00">
                  <c:v>0.621764705882353</c:v>
                </c:pt>
                <c:pt idx="76" formatCode="0.00">
                  <c:v>0.79117647058823537</c:v>
                </c:pt>
                <c:pt idx="77" formatCode="0.00">
                  <c:v>0.80823529411764705</c:v>
                </c:pt>
                <c:pt idx="78" formatCode="0.00">
                  <c:v>1.2164705882352942</c:v>
                </c:pt>
                <c:pt idx="79" formatCode="0.00">
                  <c:v>0.93352941176470594</c:v>
                </c:pt>
                <c:pt idx="80" formatCode="0.00">
                  <c:v>0.83882352941176475</c:v>
                </c:pt>
                <c:pt idx="81" formatCode="0.00">
                  <c:v>0.86529411764705888</c:v>
                </c:pt>
                <c:pt idx="82" formatCode="0.00">
                  <c:v>0.81176470588235283</c:v>
                </c:pt>
                <c:pt idx="83" formatCode="0.00">
                  <c:v>0.86705882352941199</c:v>
                </c:pt>
                <c:pt idx="84" formatCode="0.00">
                  <c:v>0.97411764705882364</c:v>
                </c:pt>
                <c:pt idx="85" formatCode="0.00">
                  <c:v>1.5605882352941176</c:v>
                </c:pt>
                <c:pt idx="86" formatCode="0.00">
                  <c:v>1.8394117647058825</c:v>
                </c:pt>
                <c:pt idx="87" formatCode="0.00">
                  <c:v>2.4194117647058819</c:v>
                </c:pt>
                <c:pt idx="88" formatCode="0.00">
                  <c:v>2.0582352941176474</c:v>
                </c:pt>
              </c:numCache>
            </c:numRef>
          </c:val>
          <c:smooth val="0"/>
        </c:ser>
        <c:dLbls>
          <c:showLegendKey val="0"/>
          <c:showVal val="0"/>
          <c:showCatName val="0"/>
          <c:showSerName val="0"/>
          <c:showPercent val="0"/>
          <c:showBubbleSize val="0"/>
        </c:dLbls>
        <c:marker val="1"/>
        <c:smooth val="0"/>
        <c:axId val="685718528"/>
        <c:axId val="685724800"/>
      </c:lineChart>
      <c:catAx>
        <c:axId val="685718528"/>
        <c:scaling>
          <c:orientation val="minMax"/>
        </c:scaling>
        <c:delete val="0"/>
        <c:axPos val="b"/>
        <c:majorGridlines>
          <c:spPr>
            <a:ln>
              <a:solidFill>
                <a:schemeClr val="tx1">
                  <a:alpha val="9000"/>
                </a:schemeClr>
              </a:solidFill>
            </a:ln>
          </c:spPr>
        </c:majorGridlines>
        <c:title>
          <c:tx>
            <c:rich>
              <a:bodyPr/>
              <a:lstStyle/>
              <a:p>
                <a:pPr>
                  <a:defRPr sz="900"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92952121784776898"/>
              <c:y val="0.86086170735507372"/>
            </c:manualLayout>
          </c:layout>
          <c:overlay val="0"/>
        </c:title>
        <c:numFmt formatCode="General" sourceLinked="1"/>
        <c:majorTickMark val="out"/>
        <c:minorTickMark val="none"/>
        <c:tickLblPos val="nextTo"/>
        <c:crossAx val="685724800"/>
        <c:crosses val="autoZero"/>
        <c:auto val="1"/>
        <c:lblAlgn val="ctr"/>
        <c:lblOffset val="100"/>
        <c:tickLblSkip val="2"/>
        <c:noMultiLvlLbl val="0"/>
      </c:catAx>
      <c:valAx>
        <c:axId val="685724800"/>
        <c:scaling>
          <c:orientation val="minMax"/>
          <c:max val="3.6"/>
          <c:min val="0"/>
        </c:scaling>
        <c:delete val="0"/>
        <c:axPos val="l"/>
        <c:majorGridlines>
          <c:spPr>
            <a:ln>
              <a:solidFill>
                <a:schemeClr val="tx1">
                  <a:alpha val="16000"/>
                </a:schemeClr>
              </a:solidFill>
            </a:ln>
          </c:spPr>
        </c:majorGridlines>
        <c:title>
          <c:tx>
            <c:rich>
              <a:bodyPr/>
              <a:lstStyle/>
              <a:p>
                <a:pPr>
                  <a:defRPr sz="900" b="0" i="0" u="none" strike="noStrike" baseline="0">
                    <a:solidFill>
                      <a:srgbClr val="000000"/>
                    </a:solidFill>
                    <a:latin typeface="Times New Roman"/>
                    <a:ea typeface="Times New Roman"/>
                    <a:cs typeface="Times New Roman"/>
                  </a:defRPr>
                </a:pPr>
                <a:r>
                  <a:rPr lang="ru-RU"/>
                  <a:t>Ширина годичного прироста, мм</a:t>
                </a:r>
              </a:p>
            </c:rich>
          </c:tx>
          <c:layout>
            <c:manualLayout>
              <c:xMode val="edge"/>
              <c:yMode val="edge"/>
              <c:x val="5.9523359580052494E-3"/>
              <c:y val="5.2920097316602544E-3"/>
            </c:manualLayout>
          </c:layout>
          <c:overlay val="0"/>
        </c:title>
        <c:numFmt formatCode="0.00" sourceLinked="1"/>
        <c:majorTickMark val="out"/>
        <c:minorTickMark val="none"/>
        <c:tickLblPos val="nextTo"/>
        <c:crossAx val="685718528"/>
        <c:crosses val="autoZero"/>
        <c:crossBetween val="midCat"/>
        <c:majorUnit val="0.4"/>
      </c:valAx>
      <c:spPr>
        <a:solidFill>
          <a:schemeClr val="bg1">
            <a:lumMod val="95000"/>
            <a:alpha val="3000"/>
          </a:schemeClr>
        </a:solidFill>
      </c:spPr>
    </c:plotArea>
    <c:legend>
      <c:legendPos val="r"/>
      <c:layout>
        <c:manualLayout>
          <c:xMode val="edge"/>
          <c:yMode val="edge"/>
          <c:x val="7.478632478632479E-3"/>
          <c:y val="0.89602446483180431"/>
          <c:w val="0.88247863247863245"/>
          <c:h val="7.64525993883792E-2"/>
        </c:manualLayout>
      </c:layout>
      <c:overlay val="0"/>
    </c:legend>
    <c:plotVisOnly val="1"/>
    <c:dispBlanksAs val="gap"/>
    <c:showDLblsOverMax val="0"/>
  </c:chart>
  <c:spPr>
    <a:solidFill>
      <a:schemeClr val="bg1"/>
    </a:solidFill>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'К-5'!$I$405</c:f>
              <c:strCache>
                <c:ptCount val="1"/>
                <c:pt idx="0">
                  <c:v>РУ</c:v>
                </c:pt>
              </c:strCache>
            </c:strRef>
          </c:tx>
          <c:invertIfNegative val="0"/>
          <c:cat>
            <c:numRef>
              <c:f>'К-5'!$H$406:$H$499</c:f>
              <c:numCache>
                <c:formatCode>General</c:formatCode>
                <c:ptCount val="94"/>
                <c:pt idx="0">
                  <c:v>1925</c:v>
                </c:pt>
                <c:pt idx="1">
                  <c:v>1926</c:v>
                </c:pt>
                <c:pt idx="2">
                  <c:v>1927</c:v>
                </c:pt>
                <c:pt idx="3">
                  <c:v>1928</c:v>
                </c:pt>
                <c:pt idx="4">
                  <c:v>1929</c:v>
                </c:pt>
                <c:pt idx="5">
                  <c:v>1930</c:v>
                </c:pt>
                <c:pt idx="6">
                  <c:v>1931</c:v>
                </c:pt>
                <c:pt idx="7">
                  <c:v>1932</c:v>
                </c:pt>
                <c:pt idx="8">
                  <c:v>1933</c:v>
                </c:pt>
                <c:pt idx="9">
                  <c:v>1934</c:v>
                </c:pt>
                <c:pt idx="10">
                  <c:v>1935</c:v>
                </c:pt>
                <c:pt idx="11">
                  <c:v>1936</c:v>
                </c:pt>
                <c:pt idx="12">
                  <c:v>1937</c:v>
                </c:pt>
                <c:pt idx="13">
                  <c:v>1938</c:v>
                </c:pt>
                <c:pt idx="14">
                  <c:v>1939</c:v>
                </c:pt>
                <c:pt idx="15">
                  <c:v>1940</c:v>
                </c:pt>
                <c:pt idx="16">
                  <c:v>1941</c:v>
                </c:pt>
                <c:pt idx="17">
                  <c:v>1942</c:v>
                </c:pt>
                <c:pt idx="18">
                  <c:v>1943</c:v>
                </c:pt>
                <c:pt idx="19">
                  <c:v>1944</c:v>
                </c:pt>
                <c:pt idx="20">
                  <c:v>1945</c:v>
                </c:pt>
                <c:pt idx="21">
                  <c:v>1946</c:v>
                </c:pt>
                <c:pt idx="22">
                  <c:v>1947</c:v>
                </c:pt>
                <c:pt idx="23">
                  <c:v>1948</c:v>
                </c:pt>
                <c:pt idx="24">
                  <c:v>1949</c:v>
                </c:pt>
                <c:pt idx="25">
                  <c:v>1950</c:v>
                </c:pt>
                <c:pt idx="26">
                  <c:v>1951</c:v>
                </c:pt>
                <c:pt idx="27">
                  <c:v>1952</c:v>
                </c:pt>
                <c:pt idx="28">
                  <c:v>1953</c:v>
                </c:pt>
                <c:pt idx="29">
                  <c:v>1954</c:v>
                </c:pt>
                <c:pt idx="30">
                  <c:v>1955</c:v>
                </c:pt>
                <c:pt idx="31">
                  <c:v>1956</c:v>
                </c:pt>
                <c:pt idx="32">
                  <c:v>1957</c:v>
                </c:pt>
                <c:pt idx="33">
                  <c:v>1958</c:v>
                </c:pt>
                <c:pt idx="34">
                  <c:v>1959</c:v>
                </c:pt>
                <c:pt idx="35">
                  <c:v>1960</c:v>
                </c:pt>
                <c:pt idx="36">
                  <c:v>1961</c:v>
                </c:pt>
                <c:pt idx="37">
                  <c:v>1962</c:v>
                </c:pt>
                <c:pt idx="38">
                  <c:v>1963</c:v>
                </c:pt>
                <c:pt idx="39">
                  <c:v>1964</c:v>
                </c:pt>
                <c:pt idx="40">
                  <c:v>1965</c:v>
                </c:pt>
                <c:pt idx="41">
                  <c:v>1966</c:v>
                </c:pt>
                <c:pt idx="42">
                  <c:v>1967</c:v>
                </c:pt>
                <c:pt idx="43">
                  <c:v>1968</c:v>
                </c:pt>
                <c:pt idx="44">
                  <c:v>1969</c:v>
                </c:pt>
                <c:pt idx="45">
                  <c:v>1970</c:v>
                </c:pt>
                <c:pt idx="46">
                  <c:v>1971</c:v>
                </c:pt>
                <c:pt idx="47">
                  <c:v>1972</c:v>
                </c:pt>
                <c:pt idx="48">
                  <c:v>1973</c:v>
                </c:pt>
                <c:pt idx="49">
                  <c:v>1974</c:v>
                </c:pt>
                <c:pt idx="50">
                  <c:v>1975</c:v>
                </c:pt>
                <c:pt idx="51">
                  <c:v>1976</c:v>
                </c:pt>
                <c:pt idx="52">
                  <c:v>1977</c:v>
                </c:pt>
                <c:pt idx="53">
                  <c:v>1978</c:v>
                </c:pt>
                <c:pt idx="54">
                  <c:v>1979</c:v>
                </c:pt>
                <c:pt idx="55">
                  <c:v>1980</c:v>
                </c:pt>
                <c:pt idx="56">
                  <c:v>1981</c:v>
                </c:pt>
                <c:pt idx="57">
                  <c:v>1982</c:v>
                </c:pt>
                <c:pt idx="58">
                  <c:v>1983</c:v>
                </c:pt>
                <c:pt idx="59">
                  <c:v>1984</c:v>
                </c:pt>
                <c:pt idx="60">
                  <c:v>1985</c:v>
                </c:pt>
                <c:pt idx="61">
                  <c:v>1986</c:v>
                </c:pt>
                <c:pt idx="62">
                  <c:v>1987</c:v>
                </c:pt>
                <c:pt idx="63">
                  <c:v>1988</c:v>
                </c:pt>
                <c:pt idx="64">
                  <c:v>1989</c:v>
                </c:pt>
                <c:pt idx="65">
                  <c:v>1990</c:v>
                </c:pt>
                <c:pt idx="66">
                  <c:v>1991</c:v>
                </c:pt>
                <c:pt idx="67">
                  <c:v>1992</c:v>
                </c:pt>
                <c:pt idx="68">
                  <c:v>1993</c:v>
                </c:pt>
                <c:pt idx="69">
                  <c:v>1994</c:v>
                </c:pt>
                <c:pt idx="70">
                  <c:v>1995</c:v>
                </c:pt>
                <c:pt idx="71">
                  <c:v>1996</c:v>
                </c:pt>
                <c:pt idx="72">
                  <c:v>1997</c:v>
                </c:pt>
                <c:pt idx="73">
                  <c:v>1998</c:v>
                </c:pt>
                <c:pt idx="74">
                  <c:v>1999</c:v>
                </c:pt>
                <c:pt idx="75">
                  <c:v>2000</c:v>
                </c:pt>
                <c:pt idx="76">
                  <c:v>2001</c:v>
                </c:pt>
                <c:pt idx="77">
                  <c:v>2002</c:v>
                </c:pt>
                <c:pt idx="78">
                  <c:v>2003</c:v>
                </c:pt>
                <c:pt idx="79">
                  <c:v>2004</c:v>
                </c:pt>
                <c:pt idx="80">
                  <c:v>2005</c:v>
                </c:pt>
                <c:pt idx="81">
                  <c:v>2006</c:v>
                </c:pt>
                <c:pt idx="82">
                  <c:v>2007</c:v>
                </c:pt>
                <c:pt idx="83">
                  <c:v>2008</c:v>
                </c:pt>
                <c:pt idx="84">
                  <c:v>2009</c:v>
                </c:pt>
                <c:pt idx="85">
                  <c:v>2010</c:v>
                </c:pt>
                <c:pt idx="86">
                  <c:v>2011</c:v>
                </c:pt>
                <c:pt idx="87">
                  <c:v>2012</c:v>
                </c:pt>
                <c:pt idx="88">
                  <c:v>2013</c:v>
                </c:pt>
                <c:pt idx="89">
                  <c:v>2014</c:v>
                </c:pt>
                <c:pt idx="90">
                  <c:v>2015</c:v>
                </c:pt>
                <c:pt idx="91">
                  <c:v>2016</c:v>
                </c:pt>
                <c:pt idx="92">
                  <c:v>2017</c:v>
                </c:pt>
                <c:pt idx="93">
                  <c:v>2018</c:v>
                </c:pt>
              </c:numCache>
            </c:numRef>
          </c:cat>
          <c:val>
            <c:numRef>
              <c:f>'К-5'!$I$406:$I$499</c:f>
              <c:numCache>
                <c:formatCode>General</c:formatCode>
                <c:ptCount val="94"/>
                <c:pt idx="0">
                  <c:v>1.59</c:v>
                </c:pt>
                <c:pt idx="1">
                  <c:v>2.6850000000000001</c:v>
                </c:pt>
                <c:pt idx="2">
                  <c:v>1.1299999999999999</c:v>
                </c:pt>
                <c:pt idx="3">
                  <c:v>1.7759999999999998</c:v>
                </c:pt>
                <c:pt idx="4">
                  <c:v>0.92799999999999994</c:v>
                </c:pt>
                <c:pt idx="5">
                  <c:v>1.052</c:v>
                </c:pt>
                <c:pt idx="6">
                  <c:v>0.4955</c:v>
                </c:pt>
                <c:pt idx="7">
                  <c:v>0.80892857142857144</c:v>
                </c:pt>
                <c:pt idx="8">
                  <c:v>0.88</c:v>
                </c:pt>
                <c:pt idx="9">
                  <c:v>0.97625000000000006</c:v>
                </c:pt>
                <c:pt idx="10">
                  <c:v>0.64933333333333332</c:v>
                </c:pt>
                <c:pt idx="11">
                  <c:v>0.8727272727272728</c:v>
                </c:pt>
                <c:pt idx="12">
                  <c:v>0.68416666666666659</c:v>
                </c:pt>
                <c:pt idx="13">
                  <c:v>0.87999999999999989</c:v>
                </c:pt>
                <c:pt idx="14">
                  <c:v>0.6783712121212121</c:v>
                </c:pt>
                <c:pt idx="15">
                  <c:v>0.84124999999999983</c:v>
                </c:pt>
                <c:pt idx="16">
                  <c:v>0.92833333333333323</c:v>
                </c:pt>
                <c:pt idx="17">
                  <c:v>0.96778846153846154</c:v>
                </c:pt>
                <c:pt idx="18">
                  <c:v>0.903076923076923</c:v>
                </c:pt>
                <c:pt idx="19">
                  <c:v>1.186923076923077</c:v>
                </c:pt>
                <c:pt idx="20">
                  <c:v>0.92445512820512832</c:v>
                </c:pt>
                <c:pt idx="21">
                  <c:v>1.0159615384615384</c:v>
                </c:pt>
                <c:pt idx="22">
                  <c:v>0.86012820512820509</c:v>
                </c:pt>
                <c:pt idx="23">
                  <c:v>0.76237179487179485</c:v>
                </c:pt>
                <c:pt idx="24">
                  <c:v>0.96852564102564109</c:v>
                </c:pt>
                <c:pt idx="25">
                  <c:v>1.0569551282051282</c:v>
                </c:pt>
                <c:pt idx="26">
                  <c:v>0.70596153846153842</c:v>
                </c:pt>
                <c:pt idx="27">
                  <c:v>0.57282051282051283</c:v>
                </c:pt>
                <c:pt idx="28">
                  <c:v>0.62298076923076917</c:v>
                </c:pt>
                <c:pt idx="29">
                  <c:v>0.59589743589743582</c:v>
                </c:pt>
                <c:pt idx="30">
                  <c:v>0.59256410256410252</c:v>
                </c:pt>
                <c:pt idx="31">
                  <c:v>0.85631410256410256</c:v>
                </c:pt>
                <c:pt idx="32">
                  <c:v>0.63753205128205126</c:v>
                </c:pt>
                <c:pt idx="33">
                  <c:v>0.82051282051282048</c:v>
                </c:pt>
                <c:pt idx="34">
                  <c:v>0.75137820512820519</c:v>
                </c:pt>
                <c:pt idx="35">
                  <c:v>0.81891025641025639</c:v>
                </c:pt>
                <c:pt idx="36">
                  <c:v>0.92586538461538459</c:v>
                </c:pt>
                <c:pt idx="37">
                  <c:v>0.7139743589743589</c:v>
                </c:pt>
                <c:pt idx="38">
                  <c:v>0.62198717948717941</c:v>
                </c:pt>
                <c:pt idx="39">
                  <c:v>0.54743589743589749</c:v>
                </c:pt>
                <c:pt idx="40">
                  <c:v>0.51948717948717948</c:v>
                </c:pt>
                <c:pt idx="41">
                  <c:v>0.57955128205128204</c:v>
                </c:pt>
                <c:pt idx="42">
                  <c:v>0.35807692307692307</c:v>
                </c:pt>
                <c:pt idx="43">
                  <c:v>0.43445512820512816</c:v>
                </c:pt>
                <c:pt idx="44">
                  <c:v>0.54814102564102563</c:v>
                </c:pt>
                <c:pt idx="45">
                  <c:v>0.54407051282051277</c:v>
                </c:pt>
                <c:pt idx="46">
                  <c:v>0.72810897435897437</c:v>
                </c:pt>
                <c:pt idx="47">
                  <c:v>0.51711538461538464</c:v>
                </c:pt>
                <c:pt idx="48">
                  <c:v>0.66903846153846158</c:v>
                </c:pt>
                <c:pt idx="49">
                  <c:v>0.60387820512820523</c:v>
                </c:pt>
                <c:pt idx="50">
                  <c:v>0.59826923076923078</c:v>
                </c:pt>
                <c:pt idx="51">
                  <c:v>0.65102564102564098</c:v>
                </c:pt>
                <c:pt idx="52">
                  <c:v>0.41173076923076923</c:v>
                </c:pt>
                <c:pt idx="53">
                  <c:v>0.69993589743589757</c:v>
                </c:pt>
                <c:pt idx="54">
                  <c:v>0.77124999999999999</c:v>
                </c:pt>
                <c:pt idx="55">
                  <c:v>0.70092948717948722</c:v>
                </c:pt>
                <c:pt idx="56">
                  <c:v>0.80141025641025632</c:v>
                </c:pt>
                <c:pt idx="57">
                  <c:v>0.51945512820512818</c:v>
                </c:pt>
                <c:pt idx="58">
                  <c:v>0.46897435897435896</c:v>
                </c:pt>
                <c:pt idx="59">
                  <c:v>0.44641025641025645</c:v>
                </c:pt>
                <c:pt idx="60">
                  <c:v>0.52769230769230768</c:v>
                </c:pt>
                <c:pt idx="61">
                  <c:v>0.61477564102564108</c:v>
                </c:pt>
                <c:pt idx="62">
                  <c:v>0.36038461538461536</c:v>
                </c:pt>
                <c:pt idx="63">
                  <c:v>0.54230769230769227</c:v>
                </c:pt>
                <c:pt idx="64">
                  <c:v>0.48900641025641023</c:v>
                </c:pt>
                <c:pt idx="65">
                  <c:v>0.48650641025641028</c:v>
                </c:pt>
                <c:pt idx="66">
                  <c:v>0.3174679487179487</c:v>
                </c:pt>
                <c:pt idx="67">
                  <c:v>0.49064102564102563</c:v>
                </c:pt>
                <c:pt idx="68">
                  <c:v>0.48384615384615381</c:v>
                </c:pt>
                <c:pt idx="69">
                  <c:v>0.67782051282051292</c:v>
                </c:pt>
                <c:pt idx="70">
                  <c:v>0.89573717948717935</c:v>
                </c:pt>
                <c:pt idx="71">
                  <c:v>0.64855769230769234</c:v>
                </c:pt>
                <c:pt idx="72">
                  <c:v>0.57608974358974352</c:v>
                </c:pt>
                <c:pt idx="73">
                  <c:v>0.51759615384615387</c:v>
                </c:pt>
                <c:pt idx="74">
                  <c:v>0.60506410256410259</c:v>
                </c:pt>
                <c:pt idx="75">
                  <c:v>0.55522435897435896</c:v>
                </c:pt>
                <c:pt idx="76">
                  <c:v>0.34365384615384609</c:v>
                </c:pt>
                <c:pt idx="77">
                  <c:v>0.36326923076923079</c:v>
                </c:pt>
                <c:pt idx="78">
                  <c:v>0.44282051282051282</c:v>
                </c:pt>
                <c:pt idx="79">
                  <c:v>0.32682692307692307</c:v>
                </c:pt>
                <c:pt idx="80">
                  <c:v>0.48474358974358978</c:v>
                </c:pt>
                <c:pt idx="81">
                  <c:v>0.53394230769230777</c:v>
                </c:pt>
                <c:pt idx="82">
                  <c:v>0.69192307692307686</c:v>
                </c:pt>
                <c:pt idx="83">
                  <c:v>0.62195512820512822</c:v>
                </c:pt>
                <c:pt idx="84">
                  <c:v>0.65682692307692292</c:v>
                </c:pt>
                <c:pt idx="85">
                  <c:v>0.57307692307692315</c:v>
                </c:pt>
                <c:pt idx="86">
                  <c:v>0.62211538461538463</c:v>
                </c:pt>
                <c:pt idx="87">
                  <c:v>0.40432692307692308</c:v>
                </c:pt>
                <c:pt idx="88">
                  <c:v>0.52564102564102555</c:v>
                </c:pt>
                <c:pt idx="89">
                  <c:v>0.4538461538461539</c:v>
                </c:pt>
                <c:pt idx="90">
                  <c:v>0.40644230769230771</c:v>
                </c:pt>
                <c:pt idx="91">
                  <c:v>0.48064102564102562</c:v>
                </c:pt>
                <c:pt idx="92">
                  <c:v>0.4555769230769231</c:v>
                </c:pt>
                <c:pt idx="93">
                  <c:v>0.55320512820512824</c:v>
                </c:pt>
              </c:numCache>
            </c:numRef>
          </c:val>
          <c:extLst xmlns:c16r2="http://schemas.microsoft.com/office/drawing/2015/06/chart">
            <c:ext xmlns:c16="http://schemas.microsoft.com/office/drawing/2014/chart" uri="{C3380CC4-5D6E-409C-BE32-E72D297353CC}">
              <c16:uniqueId val="{00000000-6549-4FD5-9EEE-B9A05EAF3045}"/>
            </c:ext>
          </c:extLst>
        </c:ser>
        <c:dLbls>
          <c:showLegendKey val="0"/>
          <c:showVal val="0"/>
          <c:showCatName val="0"/>
          <c:showSerName val="0"/>
          <c:showPercent val="0"/>
          <c:showBubbleSize val="0"/>
        </c:dLbls>
        <c:gapWidth val="150"/>
        <c:axId val="687426560"/>
        <c:axId val="687428736"/>
      </c:barChart>
      <c:catAx>
        <c:axId val="687426560"/>
        <c:scaling>
          <c:orientation val="minMax"/>
        </c:scaling>
        <c:delete val="0"/>
        <c:axPos val="b"/>
        <c:title>
          <c:tx>
            <c:rich>
              <a:bodyPr/>
              <a:lstStyle/>
              <a:p>
                <a:pPr>
                  <a:defRPr/>
                </a:pPr>
                <a:r>
                  <a:rPr lang="ru-RU"/>
                  <a:t>год наблюдений</a:t>
                </a:r>
              </a:p>
            </c:rich>
          </c:tx>
          <c:overlay val="0"/>
        </c:title>
        <c:numFmt formatCode="General" sourceLinked="1"/>
        <c:majorTickMark val="none"/>
        <c:minorTickMark val="none"/>
        <c:tickLblPos val="nextTo"/>
        <c:crossAx val="687428736"/>
        <c:crosses val="autoZero"/>
        <c:auto val="1"/>
        <c:lblAlgn val="ctr"/>
        <c:lblOffset val="100"/>
        <c:noMultiLvlLbl val="0"/>
      </c:catAx>
      <c:valAx>
        <c:axId val="687428736"/>
        <c:scaling>
          <c:orientation val="minMax"/>
        </c:scaling>
        <c:delete val="0"/>
        <c:axPos val="l"/>
        <c:majorGridlines/>
        <c:title>
          <c:tx>
            <c:rich>
              <a:bodyPr/>
              <a:lstStyle/>
              <a:p>
                <a:pPr>
                  <a:defRPr/>
                </a:pPr>
                <a:r>
                  <a:rPr lang="ru-RU"/>
                  <a:t>радиальный прирост, мм</a:t>
                </a:r>
              </a:p>
            </c:rich>
          </c:tx>
          <c:overlay val="0"/>
        </c:title>
        <c:numFmt formatCode="General" sourceLinked="1"/>
        <c:majorTickMark val="out"/>
        <c:minorTickMark val="none"/>
        <c:tickLblPos val="nextTo"/>
        <c:crossAx val="687426560"/>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0.86585</cdr:x>
      <cdr:y>0.03479</cdr:y>
    </cdr:from>
    <cdr:to>
      <cdr:x>0.86745</cdr:x>
      <cdr:y>0.68427</cdr:y>
    </cdr:to>
    <cdr:cxnSp macro="">
      <cdr:nvCxnSpPr>
        <cdr:cNvPr id="3" name="Прямая соединительная линия 2"/>
        <cdr:cNvCxnSpPr/>
      </cdr:nvCxnSpPr>
      <cdr:spPr>
        <a:xfrm xmlns:a="http://schemas.openxmlformats.org/drawingml/2006/main">
          <a:off x="5143495" y="85726"/>
          <a:ext cx="9505" cy="160018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0.7817</cdr:x>
      <cdr:y>0</cdr:y>
    </cdr:from>
    <cdr:to>
      <cdr:x>0.7817</cdr:x>
      <cdr:y>0.65054</cdr:y>
    </cdr:to>
    <cdr:cxnSp macro="">
      <cdr:nvCxnSpPr>
        <cdr:cNvPr id="2" name="Прямая соединительная линия 1"/>
        <cdr:cNvCxnSpPr/>
      </cdr:nvCxnSpPr>
      <cdr:spPr>
        <a:xfrm xmlns:a="http://schemas.openxmlformats.org/drawingml/2006/main" flipV="1">
          <a:off x="4638675" y="0"/>
          <a:ext cx="0" cy="13620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0.1212</cdr:x>
      <cdr:y>0.42926</cdr:y>
    </cdr:from>
    <cdr:to>
      <cdr:x>0.98898</cdr:x>
      <cdr:y>0.43204</cdr:y>
    </cdr:to>
    <cdr:cxnSp macro="">
      <cdr:nvCxnSpPr>
        <cdr:cNvPr id="3" name="Прямая соединительная линия 2"/>
        <cdr:cNvCxnSpPr/>
      </cdr:nvCxnSpPr>
      <cdr:spPr>
        <a:xfrm xmlns:a="http://schemas.openxmlformats.org/drawingml/2006/main">
          <a:off x="549948" y="1042884"/>
          <a:ext cx="3937734" cy="6754"/>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0.07586</cdr:x>
      <cdr:y>0.3449</cdr:y>
    </cdr:from>
    <cdr:to>
      <cdr:x>0.97195</cdr:x>
      <cdr:y>0.35417</cdr:y>
    </cdr:to>
    <cdr:cxnSp macro="">
      <cdr:nvCxnSpPr>
        <cdr:cNvPr id="3" name="Прямая соединительная линия 2"/>
        <cdr:cNvCxnSpPr/>
      </cdr:nvCxnSpPr>
      <cdr:spPr>
        <a:xfrm xmlns:a="http://schemas.openxmlformats.org/drawingml/2006/main">
          <a:off x="523873" y="946142"/>
          <a:ext cx="6188077" cy="25408"/>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0.075</cdr:x>
      <cdr:y>0.46944</cdr:y>
    </cdr:from>
    <cdr:to>
      <cdr:x>0.97889</cdr:x>
      <cdr:y>0.47222</cdr:y>
    </cdr:to>
    <cdr:cxnSp macro="">
      <cdr:nvCxnSpPr>
        <cdr:cNvPr id="3" name="Прямая соединительная линия 2"/>
        <cdr:cNvCxnSpPr/>
      </cdr:nvCxnSpPr>
      <cdr:spPr>
        <a:xfrm xmlns:a="http://schemas.openxmlformats.org/drawingml/2006/main">
          <a:off x="514350" y="1287780"/>
          <a:ext cx="6198870" cy="762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0.13814</cdr:x>
      <cdr:y>0.30716</cdr:y>
    </cdr:from>
    <cdr:to>
      <cdr:x>0.96376</cdr:x>
      <cdr:y>0.30947</cdr:y>
    </cdr:to>
    <cdr:cxnSp macro="">
      <cdr:nvCxnSpPr>
        <cdr:cNvPr id="3" name="Прямая соединительная линия 2"/>
        <cdr:cNvCxnSpPr/>
      </cdr:nvCxnSpPr>
      <cdr:spPr>
        <a:xfrm xmlns:a="http://schemas.openxmlformats.org/drawingml/2006/main" flipV="1">
          <a:off x="820626" y="801441"/>
          <a:ext cx="4904534" cy="6027"/>
        </a:xfrm>
        <a:prstGeom xmlns:a="http://schemas.openxmlformats.org/drawingml/2006/main" prst="line">
          <a:avLst/>
        </a:prstGeom>
        <a:ln xmlns:a="http://schemas.openxmlformats.org/drawingml/2006/main" w="190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D8DA0-6E3F-4297-93FC-69A2BE271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12787</TotalTime>
  <Pages>81</Pages>
  <Words>20626</Words>
  <Characters>117574</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206</cp:revision>
  <dcterms:created xsi:type="dcterms:W3CDTF">2020-09-17T12:00:00Z</dcterms:created>
  <dcterms:modified xsi:type="dcterms:W3CDTF">2020-10-30T03:48:00Z</dcterms:modified>
</cp:coreProperties>
</file>