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443A9" w:rsidRPr="00836884" w:rsidRDefault="007847BE" w:rsidP="001B4839">
      <w:pPr>
        <w:spacing w:line="360" w:lineRule="auto"/>
        <w:ind w:right="-1"/>
        <w:rPr>
          <w:color w:val="000000"/>
          <w:lang w:val="en-US"/>
        </w:rPr>
      </w:pPr>
      <w:r w:rsidRPr="007847BE">
        <w:rPr>
          <w:color w:val="000000"/>
        </w:rPr>
        <w:drawing>
          <wp:inline distT="0" distB="0" distL="0" distR="0" wp14:anchorId="3267658A" wp14:editId="32383081">
            <wp:extent cx="5884154" cy="922182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1030" t="5391" r="11165" b="8350"/>
                    <a:stretch/>
                  </pic:blipFill>
                  <pic:spPr bwMode="auto">
                    <a:xfrm>
                      <a:off x="0" y="0"/>
                      <a:ext cx="5899388" cy="9245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6F67" w:rsidRDefault="00896F67" w:rsidP="00E4436D">
      <w:pPr>
        <w:spacing w:line="360" w:lineRule="auto"/>
        <w:rPr>
          <w:b/>
        </w:rPr>
      </w:pPr>
      <w:r w:rsidRPr="00896F67">
        <w:rPr>
          <w:b/>
          <w:noProof/>
        </w:rPr>
        <w:lastRenderedPageBreak/>
        <w:drawing>
          <wp:inline distT="0" distB="0" distL="0" distR="0" wp14:anchorId="10778054" wp14:editId="5F3D9C65">
            <wp:extent cx="5904427" cy="9051925"/>
            <wp:effectExtent l="0" t="0" r="1270" b="3175"/>
            <wp:docPr id="31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17D776C9-B248-0144-8E25-23D33A9770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17D776C9-B248-0144-8E25-23D33A9770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14344" t="6286" r="7591" b="9143"/>
                    <a:stretch/>
                  </pic:blipFill>
                  <pic:spPr bwMode="auto">
                    <a:xfrm>
                      <a:off x="0" y="0"/>
                      <a:ext cx="5929868" cy="9090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128C" w:rsidRPr="0012128C">
        <w:rPr>
          <w:b/>
          <w:noProof/>
        </w:rPr>
        <w:lastRenderedPageBreak/>
        <w:drawing>
          <wp:inline distT="0" distB="0" distL="0" distR="0" wp14:anchorId="779BB210" wp14:editId="62529C8C">
            <wp:extent cx="5747776" cy="2791838"/>
            <wp:effectExtent l="0" t="0" r="5715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29" b="37146"/>
                    <a:stretch/>
                  </pic:blipFill>
                  <pic:spPr bwMode="auto">
                    <a:xfrm>
                      <a:off x="0" y="0"/>
                      <a:ext cx="5748520" cy="2792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656A" w:rsidRDefault="0050656A">
      <w:pPr>
        <w:widowControl w:val="0"/>
        <w:spacing w:line="360" w:lineRule="auto"/>
        <w:jc w:val="center"/>
        <w:rPr>
          <w:b/>
        </w:rPr>
      </w:pPr>
    </w:p>
    <w:p w:rsidR="0050656A" w:rsidRDefault="0050656A">
      <w:pPr>
        <w:widowControl w:val="0"/>
        <w:spacing w:line="360" w:lineRule="auto"/>
        <w:jc w:val="center"/>
        <w:rPr>
          <w:b/>
        </w:rPr>
      </w:pPr>
    </w:p>
    <w:p w:rsidR="0050656A" w:rsidRDefault="0050656A">
      <w:pPr>
        <w:widowControl w:val="0"/>
        <w:spacing w:line="360" w:lineRule="auto"/>
        <w:jc w:val="center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8A40EC" w:rsidRDefault="008A40EC">
      <w:pPr>
        <w:widowControl w:val="0"/>
        <w:spacing w:line="360" w:lineRule="auto"/>
        <w:rPr>
          <w:b/>
        </w:rPr>
      </w:pPr>
    </w:p>
    <w:p w:rsidR="004E6E2E" w:rsidRDefault="004E6E2E">
      <w:pPr>
        <w:widowControl w:val="0"/>
        <w:spacing w:line="360" w:lineRule="auto"/>
        <w:rPr>
          <w:b/>
        </w:rPr>
      </w:pPr>
    </w:p>
    <w:p w:rsidR="004E6E2E" w:rsidRDefault="004E6E2E">
      <w:pPr>
        <w:widowControl w:val="0"/>
        <w:spacing w:line="360" w:lineRule="auto"/>
        <w:rPr>
          <w:b/>
        </w:rPr>
      </w:pPr>
    </w:p>
    <w:p w:rsidR="004E6E2E" w:rsidRDefault="004E6E2E">
      <w:pPr>
        <w:widowControl w:val="0"/>
        <w:spacing w:line="360" w:lineRule="auto"/>
        <w:rPr>
          <w:b/>
        </w:rPr>
      </w:pPr>
    </w:p>
    <w:p w:rsidR="004E6E2E" w:rsidRDefault="004E6E2E">
      <w:pPr>
        <w:widowControl w:val="0"/>
        <w:spacing w:line="360" w:lineRule="auto"/>
        <w:rPr>
          <w:b/>
        </w:rPr>
      </w:pPr>
    </w:p>
    <w:p w:rsidR="004E6E2E" w:rsidRDefault="004E6E2E">
      <w:pPr>
        <w:widowControl w:val="0"/>
        <w:spacing w:line="360" w:lineRule="auto"/>
        <w:rPr>
          <w:b/>
        </w:rPr>
      </w:pPr>
    </w:p>
    <w:p w:rsidR="004E6E2E" w:rsidRDefault="004E6E2E">
      <w:pPr>
        <w:widowControl w:val="0"/>
        <w:spacing w:line="360" w:lineRule="auto"/>
        <w:rPr>
          <w:b/>
        </w:rPr>
      </w:pPr>
    </w:p>
    <w:p w:rsidR="0012128C" w:rsidRDefault="0012128C">
      <w:pPr>
        <w:widowControl w:val="0"/>
        <w:spacing w:line="360" w:lineRule="auto"/>
        <w:rPr>
          <w:b/>
        </w:rPr>
      </w:pPr>
    </w:p>
    <w:p w:rsidR="0050656A" w:rsidRDefault="0050656A">
      <w:pPr>
        <w:widowControl w:val="0"/>
        <w:spacing w:line="360" w:lineRule="auto"/>
        <w:rPr>
          <w:b/>
        </w:rPr>
      </w:pPr>
    </w:p>
    <w:p w:rsidR="0050656A" w:rsidRDefault="00F868D6">
      <w:pPr>
        <w:widowControl w:val="0"/>
        <w:spacing w:line="360" w:lineRule="auto"/>
        <w:jc w:val="center"/>
        <w:rPr>
          <w:b/>
        </w:rPr>
      </w:pPr>
      <w:r>
        <w:rPr>
          <w:b/>
        </w:rPr>
        <w:lastRenderedPageBreak/>
        <w:t>РЕФЕРАТ</w:t>
      </w:r>
    </w:p>
    <w:p w:rsidR="0050656A" w:rsidRDefault="0050656A">
      <w:pPr>
        <w:spacing w:line="360" w:lineRule="auto"/>
        <w:ind w:firstLine="720"/>
        <w:jc w:val="both"/>
      </w:pPr>
    </w:p>
    <w:p w:rsidR="0050656A" w:rsidRPr="00A4756F" w:rsidRDefault="00F868D6">
      <w:pPr>
        <w:spacing w:line="360" w:lineRule="auto"/>
        <w:ind w:firstLine="720"/>
        <w:jc w:val="both"/>
        <w:rPr>
          <w:color w:val="000000"/>
        </w:rPr>
      </w:pPr>
      <w:r w:rsidRPr="00E82C8A">
        <w:t xml:space="preserve">Отчет </w:t>
      </w:r>
      <w:r w:rsidR="00D65B75" w:rsidRPr="00D65B75">
        <w:t>44</w:t>
      </w:r>
      <w:r w:rsidRPr="00E82C8A">
        <w:t xml:space="preserve"> с.,</w:t>
      </w:r>
      <w:r w:rsidRPr="00A4756F">
        <w:t xml:space="preserve"> 2</w:t>
      </w:r>
      <w:r w:rsidR="005F7BFE" w:rsidRPr="005F7BFE">
        <w:t>7</w:t>
      </w:r>
      <w:r w:rsidRPr="00A4756F">
        <w:t xml:space="preserve"> рис., </w:t>
      </w:r>
      <w:r w:rsidR="005F7BFE" w:rsidRPr="005F7BFE">
        <w:t>11</w:t>
      </w:r>
      <w:r w:rsidRPr="00A4756F">
        <w:t xml:space="preserve"> </w:t>
      </w:r>
      <w:proofErr w:type="spellStart"/>
      <w:r w:rsidRPr="00A4756F">
        <w:rPr>
          <w:color w:val="000000"/>
        </w:rPr>
        <w:t>источн</w:t>
      </w:r>
      <w:proofErr w:type="spellEnd"/>
      <w:r w:rsidRPr="00A4756F">
        <w:rPr>
          <w:color w:val="000000"/>
        </w:rPr>
        <w:t xml:space="preserve">., </w:t>
      </w:r>
      <w:r w:rsidR="005F7BFE" w:rsidRPr="005F7BFE">
        <w:rPr>
          <w:color w:val="000000"/>
        </w:rPr>
        <w:t>2</w:t>
      </w:r>
      <w:r w:rsidRPr="00A4756F">
        <w:rPr>
          <w:color w:val="000000"/>
        </w:rPr>
        <w:t xml:space="preserve"> прил. </w:t>
      </w:r>
    </w:p>
    <w:p w:rsidR="0050656A" w:rsidRDefault="00F868D6">
      <w:pPr>
        <w:spacing w:line="360" w:lineRule="auto"/>
        <w:jc w:val="both"/>
      </w:pPr>
      <w:r>
        <w:rPr>
          <w:color w:val="000000"/>
        </w:rPr>
        <w:t xml:space="preserve">НАНОГЕНЕРАТОР, ТРИБОЭЛЕКТРИЧЕСКАЯ ПАРА, ЛИТИЙ-ИОННЫЙ АККУМУЛЯТОР, </w:t>
      </w:r>
      <w:r w:rsidR="005F7BFE" w:rsidRPr="005F7BFE">
        <w:rPr>
          <w:color w:val="000000"/>
        </w:rPr>
        <w:t>БЛОК УПРАВЛЕНИЯ ПИТАНИЕМ, САМОЗАРЯЖАЮЩИЙСЯ БЛОК ПИТАНИЯ</w:t>
      </w:r>
      <w:r>
        <w:rPr>
          <w:color w:val="000000"/>
        </w:rPr>
        <w:t xml:space="preserve">. </w:t>
      </w:r>
    </w:p>
    <w:p w:rsidR="0050656A" w:rsidRPr="00366F33" w:rsidRDefault="00F868D6">
      <w:pPr>
        <w:spacing w:line="360" w:lineRule="auto"/>
        <w:ind w:firstLine="720"/>
        <w:jc w:val="both"/>
      </w:pPr>
      <w:r w:rsidRPr="00366F33">
        <w:t xml:space="preserve">Объектами исследования в текущем отчетном году являются нитевидные трибоэлектрические пары, материалы с разной полярностью, с целью создания текстильных трибоэлектрических </w:t>
      </w:r>
      <w:proofErr w:type="spellStart"/>
      <w:r w:rsidRPr="00366F33">
        <w:t>наногенераторов</w:t>
      </w:r>
      <w:proofErr w:type="spellEnd"/>
      <w:r w:rsidRPr="00366F33">
        <w:t xml:space="preserve">, определение выходных электрических параметров </w:t>
      </w:r>
      <w:proofErr w:type="spellStart"/>
      <w:r w:rsidRPr="00366F33">
        <w:t>наногенераторов</w:t>
      </w:r>
      <w:proofErr w:type="spellEnd"/>
      <w:r w:rsidRPr="00366F33">
        <w:t xml:space="preserve">, гибкие катодные материалы на основе серы и его сульфидов.    </w:t>
      </w:r>
    </w:p>
    <w:p w:rsidR="0050656A" w:rsidRPr="00366F33" w:rsidRDefault="00F868D6">
      <w:pPr>
        <w:spacing w:line="360" w:lineRule="auto"/>
        <w:ind w:firstLine="720"/>
        <w:jc w:val="both"/>
      </w:pPr>
      <w:r w:rsidRPr="00366F33">
        <w:t xml:space="preserve">Цель работы - создание трибоэлектрического </w:t>
      </w:r>
      <w:proofErr w:type="spellStart"/>
      <w:r w:rsidRPr="00366F33">
        <w:t>наногенератора</w:t>
      </w:r>
      <w:proofErr w:type="spellEnd"/>
      <w:r w:rsidRPr="00366F33">
        <w:t xml:space="preserve">, включающая разработку электрода и трибоэлектрической пары материалов, а также создание гибкого катода для литий-ионных </w:t>
      </w:r>
      <w:r w:rsidRPr="00366F33">
        <w:rPr>
          <w:color w:val="000000"/>
        </w:rPr>
        <w:t>аккумуляторов</w:t>
      </w:r>
      <w:r w:rsidRPr="00366F33">
        <w:t xml:space="preserve">. Будет проведен анализ полученных предварительных результатов с целью дальнейшего усовершенствования </w:t>
      </w:r>
      <w:proofErr w:type="spellStart"/>
      <w:r w:rsidRPr="00366F33">
        <w:t>наногенератора</w:t>
      </w:r>
      <w:proofErr w:type="spellEnd"/>
      <w:r w:rsidRPr="00366F33">
        <w:t xml:space="preserve"> и катода.</w:t>
      </w:r>
    </w:p>
    <w:p w:rsidR="0050656A" w:rsidRPr="00366F33" w:rsidRDefault="00F868D6">
      <w:pPr>
        <w:spacing w:line="360" w:lineRule="auto"/>
        <w:ind w:firstLine="720"/>
        <w:jc w:val="both"/>
        <w:rPr>
          <w:highlight w:val="lightGray"/>
        </w:rPr>
      </w:pPr>
      <w:r w:rsidRPr="00366F33">
        <w:t xml:space="preserve">Новизна работы заключается в создании носимого блока питания на основе собственных разработок в области текстильных трибоэлектрических </w:t>
      </w:r>
      <w:proofErr w:type="spellStart"/>
      <w:r w:rsidRPr="00366F33">
        <w:t>наногенераторов</w:t>
      </w:r>
      <w:proofErr w:type="spellEnd"/>
      <w:r w:rsidRPr="00366F33">
        <w:t xml:space="preserve"> и гибких литий-ионных </w:t>
      </w:r>
      <w:r w:rsidRPr="00366F33">
        <w:rPr>
          <w:color w:val="000000"/>
        </w:rPr>
        <w:t>аккумуляторов</w:t>
      </w:r>
      <w:r w:rsidRPr="00366F33">
        <w:t xml:space="preserve">.    </w:t>
      </w:r>
    </w:p>
    <w:p w:rsidR="0050656A" w:rsidRPr="00366F33" w:rsidRDefault="00F868D6">
      <w:pPr>
        <w:spacing w:line="360" w:lineRule="auto"/>
        <w:ind w:firstLine="720"/>
        <w:jc w:val="both"/>
      </w:pPr>
      <w:r w:rsidRPr="00366F33">
        <w:t xml:space="preserve">Методы исследования: химическое осаждение из газовой фазы (CVD), покрытие, рентгенофазовый анализ (РФА), сканирующая электронная микроскопия (СЭМ), оптическая микроскопия, ИК Фурье спектроскопия, рентгеноструктурный анализ, </w:t>
      </w:r>
      <w:r w:rsidRPr="00366F33">
        <w:rPr>
          <w:color w:val="000000"/>
        </w:rPr>
        <w:t xml:space="preserve">циклическую </w:t>
      </w:r>
      <w:proofErr w:type="spellStart"/>
      <w:r w:rsidRPr="00366F33">
        <w:rPr>
          <w:color w:val="000000"/>
        </w:rPr>
        <w:t>вольтамперометрия</w:t>
      </w:r>
      <w:proofErr w:type="spellEnd"/>
      <w:r w:rsidRPr="00366F33">
        <w:rPr>
          <w:color w:val="000000"/>
        </w:rPr>
        <w:t xml:space="preserve">, тест емкости и </w:t>
      </w:r>
      <w:proofErr w:type="spellStart"/>
      <w:r w:rsidRPr="00366F33">
        <w:rPr>
          <w:color w:val="000000"/>
        </w:rPr>
        <w:t>циклирования</w:t>
      </w:r>
      <w:proofErr w:type="spellEnd"/>
      <w:r w:rsidRPr="00366F33">
        <w:rPr>
          <w:color w:val="000000"/>
        </w:rPr>
        <w:t xml:space="preserve"> аккумулятора.</w:t>
      </w:r>
    </w:p>
    <w:p w:rsidR="0050656A" w:rsidRPr="00366F33" w:rsidRDefault="00F868D6">
      <w:pPr>
        <w:spacing w:line="360" w:lineRule="auto"/>
        <w:ind w:firstLine="720"/>
        <w:jc w:val="both"/>
      </w:pPr>
      <w:r w:rsidRPr="00366F33">
        <w:t xml:space="preserve">Результаты исследований: </w:t>
      </w:r>
    </w:p>
    <w:p w:rsidR="0050656A" w:rsidRPr="00366F33" w:rsidRDefault="00F868D6">
      <w:pPr>
        <w:numPr>
          <w:ilvl w:val="0"/>
          <w:numId w:val="5"/>
        </w:numPr>
        <w:spacing w:line="360" w:lineRule="auto"/>
        <w:ind w:left="0" w:firstLine="0"/>
        <w:jc w:val="both"/>
      </w:pPr>
      <w:r w:rsidRPr="00366F33">
        <w:t xml:space="preserve">Разработаны новые композитные электроды для трибоэлектрических </w:t>
      </w:r>
      <w:proofErr w:type="spellStart"/>
      <w:r w:rsidRPr="00366F33">
        <w:t>наногенераторов</w:t>
      </w:r>
      <w:proofErr w:type="spellEnd"/>
      <w:r w:rsidRPr="00366F33">
        <w:t>;</w:t>
      </w:r>
    </w:p>
    <w:p w:rsidR="0050656A" w:rsidRPr="00366F33" w:rsidRDefault="00F868D6">
      <w:pPr>
        <w:numPr>
          <w:ilvl w:val="0"/>
          <w:numId w:val="5"/>
        </w:numPr>
        <w:spacing w:line="360" w:lineRule="auto"/>
        <w:ind w:left="0" w:firstLine="0"/>
        <w:jc w:val="both"/>
      </w:pPr>
      <w:r w:rsidRPr="00366F33">
        <w:t>Приготовлены трибоэлектрические нити на основе композитных электродов;</w:t>
      </w:r>
    </w:p>
    <w:p w:rsidR="0050656A" w:rsidRPr="00366F33" w:rsidRDefault="00F868D6">
      <w:pPr>
        <w:numPr>
          <w:ilvl w:val="0"/>
          <w:numId w:val="5"/>
        </w:numPr>
        <w:spacing w:line="360" w:lineRule="auto"/>
        <w:ind w:left="0" w:firstLine="0"/>
        <w:jc w:val="both"/>
      </w:pPr>
      <w:r w:rsidRPr="00366F33">
        <w:t xml:space="preserve">Методом вязания приготовлены трибоэлектрические </w:t>
      </w:r>
      <w:proofErr w:type="spellStart"/>
      <w:r w:rsidRPr="00366F33">
        <w:t>наногенераторы</w:t>
      </w:r>
      <w:proofErr w:type="spellEnd"/>
      <w:r w:rsidRPr="00366F33">
        <w:t xml:space="preserve"> и получены предварительные результаты их выходных электрических характеристик; </w:t>
      </w:r>
    </w:p>
    <w:p w:rsidR="0050656A" w:rsidRDefault="00F868D6">
      <w:pPr>
        <w:numPr>
          <w:ilvl w:val="0"/>
          <w:numId w:val="5"/>
        </w:numPr>
        <w:spacing w:line="360" w:lineRule="auto"/>
        <w:ind w:left="0" w:firstLine="0"/>
        <w:jc w:val="both"/>
      </w:pPr>
      <w:r w:rsidRPr="00366F33">
        <w:t>Получен предварительный</w:t>
      </w:r>
      <w:r>
        <w:t xml:space="preserve"> образец гибкого катода для литий-ионных </w:t>
      </w:r>
      <w:r>
        <w:rPr>
          <w:color w:val="000000"/>
        </w:rPr>
        <w:t>аккумуляторов</w:t>
      </w:r>
      <w:r>
        <w:t xml:space="preserve">. </w:t>
      </w:r>
    </w:p>
    <w:p w:rsidR="0050656A" w:rsidRDefault="0050656A">
      <w:pPr>
        <w:spacing w:line="360" w:lineRule="auto"/>
        <w:jc w:val="both"/>
      </w:pPr>
    </w:p>
    <w:p w:rsidR="0050656A" w:rsidRDefault="0050656A">
      <w:pPr>
        <w:spacing w:line="360" w:lineRule="auto"/>
        <w:jc w:val="both"/>
      </w:pPr>
    </w:p>
    <w:p w:rsidR="0050656A" w:rsidRDefault="0050656A">
      <w:pPr>
        <w:spacing w:line="360" w:lineRule="auto"/>
        <w:jc w:val="both"/>
      </w:pPr>
    </w:p>
    <w:p w:rsidR="0050656A" w:rsidRDefault="0050656A">
      <w:pPr>
        <w:tabs>
          <w:tab w:val="left" w:pos="567"/>
        </w:tabs>
        <w:spacing w:line="360" w:lineRule="auto"/>
        <w:jc w:val="both"/>
      </w:pPr>
    </w:p>
    <w:p w:rsidR="001C38F2" w:rsidRDefault="001C38F2">
      <w:pPr>
        <w:tabs>
          <w:tab w:val="left" w:pos="567"/>
        </w:tabs>
        <w:spacing w:line="360" w:lineRule="auto"/>
        <w:jc w:val="both"/>
      </w:pPr>
    </w:p>
    <w:p w:rsidR="001C38F2" w:rsidRDefault="001C38F2" w:rsidP="001C38F2">
      <w:pPr>
        <w:widowControl w:val="0"/>
        <w:tabs>
          <w:tab w:val="left" w:pos="567"/>
        </w:tabs>
        <w:spacing w:line="360" w:lineRule="auto"/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СОДЕРЖАНИЕ</w:t>
      </w:r>
    </w:p>
    <w:p w:rsidR="0050656A" w:rsidRDefault="0050656A">
      <w:pPr>
        <w:tabs>
          <w:tab w:val="left" w:pos="567"/>
        </w:tabs>
        <w:spacing w:line="360" w:lineRule="auto"/>
        <w:jc w:val="both"/>
      </w:pPr>
    </w:p>
    <w:tbl>
      <w:tblPr>
        <w:tblStyle w:val="a2"/>
        <w:tblW w:w="9456" w:type="dxa"/>
        <w:tblLayout w:type="fixed"/>
        <w:tblLook w:val="0400" w:firstRow="0" w:lastRow="0" w:firstColumn="0" w:lastColumn="0" w:noHBand="0" w:noVBand="1"/>
      </w:tblPr>
      <w:tblGrid>
        <w:gridCol w:w="8889"/>
        <w:gridCol w:w="567"/>
      </w:tblGrid>
      <w:tr w:rsidR="00A8733B" w:rsidRPr="00A8733B" w:rsidTr="00366F33">
        <w:tc>
          <w:tcPr>
            <w:tcW w:w="8889" w:type="dxa"/>
          </w:tcPr>
          <w:p w:rsidR="00A8733B" w:rsidRPr="001C38F2" w:rsidRDefault="00901D28" w:rsidP="001C38F2">
            <w:pPr>
              <w:tabs>
                <w:tab w:val="left" w:pos="567"/>
              </w:tabs>
              <w:spacing w:line="360" w:lineRule="auto"/>
            </w:pPr>
            <w:r>
              <w:rPr>
                <w:color w:val="000000"/>
              </w:rPr>
              <w:t>Введение................................................................................................................................</w:t>
            </w:r>
          </w:p>
        </w:tc>
        <w:tc>
          <w:tcPr>
            <w:tcW w:w="567" w:type="dxa"/>
          </w:tcPr>
          <w:p w:rsidR="00A8733B" w:rsidRPr="00A8733B" w:rsidRDefault="00901D28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</w:tr>
      <w:tr w:rsidR="00A8733B" w:rsidRPr="00A8733B" w:rsidTr="00366F33">
        <w:tc>
          <w:tcPr>
            <w:tcW w:w="8889" w:type="dxa"/>
          </w:tcPr>
          <w:p w:rsidR="00A8733B" w:rsidRDefault="00A8733B" w:rsidP="00A8733B">
            <w:pPr>
              <w:widowControl w:val="0"/>
              <w:tabs>
                <w:tab w:val="left" w:pos="567"/>
              </w:tabs>
              <w:spacing w:line="360" w:lineRule="auto"/>
              <w:rPr>
                <w:b/>
                <w:color w:val="000000"/>
              </w:rPr>
            </w:pPr>
            <w:r>
              <w:rPr>
                <w:color w:val="000000"/>
              </w:rPr>
              <w:t>Основная часть</w:t>
            </w:r>
            <w:r w:rsidR="00D65B75" w:rsidRPr="00D65B75">
              <w:rPr>
                <w:color w:val="000000"/>
              </w:rPr>
              <w:t xml:space="preserve"> </w:t>
            </w:r>
            <w:r w:rsidR="00D65B75">
              <w:rPr>
                <w:color w:val="000000"/>
              </w:rPr>
              <w:t>отчета о НИР</w:t>
            </w:r>
            <w:r>
              <w:rPr>
                <w:color w:val="000000"/>
              </w:rPr>
              <w:t>..............................................................................................</w:t>
            </w:r>
          </w:p>
        </w:tc>
        <w:tc>
          <w:tcPr>
            <w:tcW w:w="567" w:type="dxa"/>
          </w:tcPr>
          <w:p w:rsidR="00A8733B" w:rsidRPr="00A8733B" w:rsidRDefault="000543F1" w:rsidP="00A8733B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A8733B" w:rsidRPr="00A8733B" w:rsidTr="00366F33">
        <w:tc>
          <w:tcPr>
            <w:tcW w:w="8889" w:type="dxa"/>
          </w:tcPr>
          <w:p w:rsidR="00A8733B" w:rsidRDefault="00A8733B" w:rsidP="00A8733B">
            <w:pPr>
              <w:widowControl w:val="0"/>
              <w:tabs>
                <w:tab w:val="left" w:pos="567"/>
              </w:tabs>
              <w:spacing w:line="360" w:lineRule="auto"/>
              <w:rPr>
                <w:b/>
                <w:color w:val="000000"/>
              </w:rPr>
            </w:pPr>
            <w:r>
              <w:t xml:space="preserve">1 </w:t>
            </w:r>
            <w:r>
              <w:rPr>
                <w:color w:val="000000"/>
              </w:rPr>
              <w:t>Подготовка и характеристика ТЭНГ текстиля</w:t>
            </w:r>
            <w:r>
              <w:t>...............................................................</w:t>
            </w:r>
          </w:p>
        </w:tc>
        <w:tc>
          <w:tcPr>
            <w:tcW w:w="567" w:type="dxa"/>
          </w:tcPr>
          <w:p w:rsidR="00A8733B" w:rsidRPr="00A8733B" w:rsidRDefault="000543F1" w:rsidP="00A8733B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A8733B" w:rsidRPr="00A8733B" w:rsidTr="00366F33">
        <w:tc>
          <w:tcPr>
            <w:tcW w:w="8889" w:type="dxa"/>
          </w:tcPr>
          <w:p w:rsidR="00A8733B" w:rsidRDefault="00366F33" w:rsidP="002C251D">
            <w:pPr>
              <w:widowControl w:val="0"/>
              <w:tabs>
                <w:tab w:val="left" w:pos="567"/>
              </w:tabs>
              <w:spacing w:line="360" w:lineRule="auto"/>
            </w:pPr>
            <w:r>
              <w:t xml:space="preserve">  </w:t>
            </w:r>
            <w:r w:rsidR="00A8733B">
              <w:t xml:space="preserve">1.1 </w:t>
            </w:r>
            <w:r w:rsidR="00A8733B">
              <w:rPr>
                <w:highlight w:val="white"/>
              </w:rPr>
              <w:t>Изучение и получение материалов трибоэлектрических пар.</w:t>
            </w:r>
            <w:r w:rsidR="00A8733B">
              <w:t>.........................</w:t>
            </w:r>
            <w:r>
              <w:t>...</w:t>
            </w:r>
            <w:r w:rsidR="00A8733B">
              <w:t>.....</w:t>
            </w:r>
          </w:p>
        </w:tc>
        <w:tc>
          <w:tcPr>
            <w:tcW w:w="567" w:type="dxa"/>
          </w:tcPr>
          <w:p w:rsidR="00A8733B" w:rsidRPr="000543F1" w:rsidRDefault="00901D28" w:rsidP="000543F1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  <w:lang w:val="en-US"/>
              </w:rPr>
            </w:pPr>
            <w:r>
              <w:rPr>
                <w:color w:val="000000"/>
              </w:rPr>
              <w:t>1</w:t>
            </w:r>
            <w:r w:rsidR="000543F1">
              <w:rPr>
                <w:color w:val="000000"/>
                <w:lang w:val="en-US"/>
              </w:rPr>
              <w:t>1</w:t>
            </w:r>
          </w:p>
        </w:tc>
      </w:tr>
      <w:tr w:rsidR="00A8733B" w:rsidRPr="00A8733B" w:rsidTr="00366F33">
        <w:tc>
          <w:tcPr>
            <w:tcW w:w="8889" w:type="dxa"/>
          </w:tcPr>
          <w:p w:rsidR="00A8733B" w:rsidRDefault="00366F33" w:rsidP="002C251D">
            <w:pPr>
              <w:widowControl w:val="0"/>
              <w:tabs>
                <w:tab w:val="left" w:pos="567"/>
              </w:tabs>
              <w:spacing w:line="360" w:lineRule="auto"/>
            </w:pPr>
            <w:r>
              <w:t xml:space="preserve">  </w:t>
            </w:r>
            <w:r w:rsidR="00A8733B">
              <w:t xml:space="preserve">1.2 </w:t>
            </w:r>
            <w:r w:rsidR="00A8733B">
              <w:rPr>
                <w:color w:val="000000"/>
              </w:rPr>
              <w:t>Вязание и характеристика ТЭНГ текстиля</w:t>
            </w:r>
            <w:r w:rsidR="002C251D">
              <w:rPr>
                <w:color w:val="000000"/>
              </w:rPr>
              <w:t>...........................................................</w:t>
            </w:r>
            <w:r>
              <w:rPr>
                <w:color w:val="000000"/>
              </w:rPr>
              <w:t>...</w:t>
            </w:r>
            <w:r w:rsidR="002C251D">
              <w:rPr>
                <w:color w:val="000000"/>
              </w:rPr>
              <w:t>..</w:t>
            </w:r>
          </w:p>
        </w:tc>
        <w:tc>
          <w:tcPr>
            <w:tcW w:w="567" w:type="dxa"/>
          </w:tcPr>
          <w:p w:rsidR="00A8733B" w:rsidRPr="000543F1" w:rsidRDefault="001C38F2" w:rsidP="000543F1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  <w:lang w:val="en-US"/>
              </w:rPr>
            </w:pPr>
            <w:r>
              <w:rPr>
                <w:color w:val="000000"/>
              </w:rPr>
              <w:t>1</w:t>
            </w:r>
            <w:r w:rsidR="000543F1">
              <w:rPr>
                <w:color w:val="000000"/>
                <w:lang w:val="en-US"/>
              </w:rPr>
              <w:t>7</w:t>
            </w:r>
          </w:p>
        </w:tc>
      </w:tr>
      <w:tr w:rsidR="00A8733B" w:rsidRPr="00A8733B" w:rsidTr="00366F33">
        <w:tc>
          <w:tcPr>
            <w:tcW w:w="8889" w:type="dxa"/>
          </w:tcPr>
          <w:p w:rsidR="00A8733B" w:rsidRDefault="001C38F2" w:rsidP="002C251D">
            <w:pPr>
              <w:widowControl w:val="0"/>
              <w:tabs>
                <w:tab w:val="left" w:pos="567"/>
              </w:tabs>
              <w:spacing w:line="360" w:lineRule="auto"/>
              <w:jc w:val="center"/>
            </w:pPr>
            <w:r>
              <w:t xml:space="preserve">2 </w:t>
            </w:r>
            <w:r>
              <w:rPr>
                <w:color w:val="000000"/>
              </w:rPr>
              <w:t>Синтез и изготовление гибкой литий-ионного аккумулятора с длительным сроком службы</w:t>
            </w:r>
            <w:r w:rsidR="002C251D">
              <w:rPr>
                <w:color w:val="000000"/>
              </w:rPr>
              <w:t>...................................................................................................................................</w:t>
            </w:r>
          </w:p>
        </w:tc>
        <w:tc>
          <w:tcPr>
            <w:tcW w:w="567" w:type="dxa"/>
          </w:tcPr>
          <w:p w:rsidR="00A8733B" w:rsidRDefault="00A8733B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color w:val="000000"/>
              </w:rPr>
            </w:pPr>
          </w:p>
          <w:p w:rsidR="002C251D" w:rsidRPr="00A8733B" w:rsidRDefault="000543F1" w:rsidP="002C251D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</w:tr>
      <w:tr w:rsidR="00A8733B" w:rsidRPr="00A8733B" w:rsidTr="00366F33">
        <w:tc>
          <w:tcPr>
            <w:tcW w:w="8889" w:type="dxa"/>
          </w:tcPr>
          <w:p w:rsidR="00A8733B" w:rsidRDefault="00366F33" w:rsidP="00366F33">
            <w:pPr>
              <w:widowControl w:val="0"/>
              <w:tabs>
                <w:tab w:val="left" w:pos="567"/>
              </w:tabs>
              <w:spacing w:line="360" w:lineRule="auto"/>
            </w:pPr>
            <w:r>
              <w:t xml:space="preserve">  </w:t>
            </w:r>
            <w:r w:rsidR="001C38F2">
              <w:t xml:space="preserve">2.1 </w:t>
            </w:r>
            <w:r w:rsidR="001C38F2">
              <w:rPr>
                <w:color w:val="000000"/>
              </w:rPr>
              <w:t>Получение гибкой S/</w:t>
            </w:r>
            <w:proofErr w:type="spellStart"/>
            <w:r w:rsidR="001C38F2">
              <w:rPr>
                <w:color w:val="000000"/>
              </w:rPr>
              <w:t>CuS</w:t>
            </w:r>
            <w:proofErr w:type="spellEnd"/>
            <w:r w:rsidR="001C38F2">
              <w:rPr>
                <w:color w:val="000000"/>
              </w:rPr>
              <w:t xml:space="preserve"> катодного материа</w:t>
            </w:r>
            <w:r>
              <w:rPr>
                <w:color w:val="000000"/>
              </w:rPr>
              <w:t>ла</w:t>
            </w:r>
            <w:r w:rsidR="002C251D">
              <w:rPr>
                <w:color w:val="000000"/>
              </w:rPr>
              <w:t>...................................................</w:t>
            </w:r>
            <w:r>
              <w:rPr>
                <w:color w:val="000000"/>
              </w:rPr>
              <w:t>...</w:t>
            </w:r>
            <w:r w:rsidR="002C251D">
              <w:rPr>
                <w:color w:val="000000"/>
              </w:rPr>
              <w:t>...</w:t>
            </w:r>
          </w:p>
        </w:tc>
        <w:tc>
          <w:tcPr>
            <w:tcW w:w="567" w:type="dxa"/>
          </w:tcPr>
          <w:p w:rsidR="00A8733B" w:rsidRPr="00A8733B" w:rsidRDefault="000543F1" w:rsidP="002C251D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</w:tr>
      <w:tr w:rsidR="001C38F2" w:rsidRPr="00A8733B" w:rsidTr="00366F33">
        <w:tc>
          <w:tcPr>
            <w:tcW w:w="8889" w:type="dxa"/>
          </w:tcPr>
          <w:p w:rsidR="001C38F2" w:rsidRDefault="001C38F2" w:rsidP="00366F33">
            <w:pPr>
              <w:widowControl w:val="0"/>
              <w:tabs>
                <w:tab w:val="left" w:pos="567"/>
              </w:tabs>
              <w:spacing w:line="360" w:lineRule="auto"/>
            </w:pPr>
            <w:r>
              <w:rPr>
                <w:color w:val="000000"/>
              </w:rPr>
              <w:t>Заключение............................................................................................................................</w:t>
            </w:r>
          </w:p>
        </w:tc>
        <w:tc>
          <w:tcPr>
            <w:tcW w:w="567" w:type="dxa"/>
          </w:tcPr>
          <w:p w:rsidR="001C38F2" w:rsidRPr="00A8733B" w:rsidRDefault="000543F1" w:rsidP="002C251D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</w:tr>
      <w:tr w:rsidR="001C38F2" w:rsidRPr="00A8733B" w:rsidTr="00366F33">
        <w:tc>
          <w:tcPr>
            <w:tcW w:w="8889" w:type="dxa"/>
          </w:tcPr>
          <w:p w:rsidR="001C38F2" w:rsidRDefault="001C38F2" w:rsidP="00366F33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Список использованных источников..................................................................................</w:t>
            </w:r>
          </w:p>
        </w:tc>
        <w:tc>
          <w:tcPr>
            <w:tcW w:w="567" w:type="dxa"/>
          </w:tcPr>
          <w:p w:rsidR="001C38F2" w:rsidRPr="000543F1" w:rsidRDefault="00901D28" w:rsidP="000543F1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  <w:lang w:val="en-US"/>
              </w:rPr>
            </w:pPr>
            <w:r>
              <w:rPr>
                <w:color w:val="000000"/>
              </w:rPr>
              <w:t>3</w:t>
            </w:r>
            <w:r w:rsidR="000543F1">
              <w:rPr>
                <w:color w:val="000000"/>
                <w:lang w:val="en-US"/>
              </w:rPr>
              <w:t>6</w:t>
            </w:r>
          </w:p>
        </w:tc>
      </w:tr>
      <w:tr w:rsidR="001C38F2" w:rsidRPr="00A8733B" w:rsidTr="00366F33">
        <w:tc>
          <w:tcPr>
            <w:tcW w:w="8889" w:type="dxa"/>
          </w:tcPr>
          <w:p w:rsidR="001C38F2" w:rsidRDefault="001C38F2" w:rsidP="002C251D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 xml:space="preserve">Приложение А </w:t>
            </w:r>
            <w:r w:rsidR="00640CDB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Календарный план.............................................................</w:t>
            </w:r>
            <w:r w:rsidR="002C251D">
              <w:rPr>
                <w:color w:val="000000"/>
              </w:rPr>
              <w:t>......................</w:t>
            </w:r>
          </w:p>
        </w:tc>
        <w:tc>
          <w:tcPr>
            <w:tcW w:w="567" w:type="dxa"/>
          </w:tcPr>
          <w:p w:rsidR="001C38F2" w:rsidRPr="00A8733B" w:rsidRDefault="000543F1" w:rsidP="00901D28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</w:tr>
      <w:tr w:rsidR="001C38F2" w:rsidRPr="00A8733B" w:rsidTr="00366F33">
        <w:tc>
          <w:tcPr>
            <w:tcW w:w="8889" w:type="dxa"/>
          </w:tcPr>
          <w:p w:rsidR="001C38F2" w:rsidRDefault="001C38F2" w:rsidP="001C38F2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</w:rPr>
            </w:pPr>
            <w:r>
              <w:rPr>
                <w:color w:val="000000"/>
              </w:rPr>
              <w:t>Приложение Б</w:t>
            </w:r>
            <w:r w:rsidR="00640CDB">
              <w:rPr>
                <w:color w:val="000000"/>
              </w:rPr>
              <w:t xml:space="preserve"> –</w:t>
            </w:r>
            <w:r>
              <w:rPr>
                <w:color w:val="000000"/>
              </w:rPr>
              <w:t xml:space="preserve"> Оттиски опубликованных статей...........</w:t>
            </w:r>
            <w:r w:rsidR="00640CDB">
              <w:rPr>
                <w:color w:val="000000"/>
              </w:rPr>
              <w:t>..............................</w:t>
            </w:r>
            <w:r>
              <w:rPr>
                <w:color w:val="000000"/>
              </w:rPr>
              <w:t>..................</w:t>
            </w:r>
          </w:p>
        </w:tc>
        <w:tc>
          <w:tcPr>
            <w:tcW w:w="567" w:type="dxa"/>
          </w:tcPr>
          <w:p w:rsidR="001C38F2" w:rsidRPr="00C23ACD" w:rsidRDefault="00C23ACD" w:rsidP="00901D28">
            <w:pPr>
              <w:widowControl w:val="0"/>
              <w:tabs>
                <w:tab w:val="left" w:pos="567"/>
              </w:tabs>
              <w:spacing w:line="360" w:lineRule="auto"/>
              <w:rPr>
                <w:color w:val="000000"/>
                <w:lang w:val="en-US"/>
              </w:rPr>
            </w:pPr>
            <w:r>
              <w:rPr>
                <w:color w:val="000000" w:themeColor="text1"/>
                <w:lang w:val="en-US"/>
              </w:rPr>
              <w:t>43</w:t>
            </w:r>
          </w:p>
        </w:tc>
      </w:tr>
    </w:tbl>
    <w:p w:rsidR="00C76886" w:rsidRDefault="008A40EC">
      <w:r>
        <w:br w:type="page"/>
      </w:r>
    </w:p>
    <w:tbl>
      <w:tblPr>
        <w:tblStyle w:val="a2"/>
        <w:tblW w:w="9355" w:type="dxa"/>
        <w:tblLayout w:type="fixed"/>
        <w:tblLook w:val="0400" w:firstRow="0" w:lastRow="0" w:firstColumn="0" w:lastColumn="0" w:noHBand="0" w:noVBand="1"/>
      </w:tblPr>
      <w:tblGrid>
        <w:gridCol w:w="9130"/>
        <w:gridCol w:w="225"/>
      </w:tblGrid>
      <w:tr w:rsidR="0050656A" w:rsidTr="008A40EC">
        <w:tc>
          <w:tcPr>
            <w:tcW w:w="9130" w:type="dxa"/>
          </w:tcPr>
          <w:p w:rsidR="0050656A" w:rsidRDefault="00F868D6" w:rsidP="008A40EC">
            <w:pPr>
              <w:tabs>
                <w:tab w:val="left" w:pos="567"/>
              </w:tabs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ПЕРЕЧЕНЬ СОКРАЩЕНИЙ И ОБОЗНАЧЕНИЙ</w:t>
            </w:r>
          </w:p>
          <w:p w:rsidR="0050656A" w:rsidRDefault="0050656A" w:rsidP="008A40EC">
            <w:pPr>
              <w:tabs>
                <w:tab w:val="left" w:pos="567"/>
              </w:tabs>
              <w:spacing w:line="360" w:lineRule="auto"/>
              <w:jc w:val="center"/>
              <w:rPr>
                <w:b/>
              </w:rPr>
            </w:pPr>
          </w:p>
          <w:p w:rsidR="0050656A" w:rsidRDefault="00F868D6" w:rsidP="00640CDB">
            <w:pPr>
              <w:tabs>
                <w:tab w:val="left" w:pos="567"/>
              </w:tabs>
              <w:spacing w:line="360" w:lineRule="auto"/>
              <w:ind w:firstLine="709"/>
            </w:pPr>
            <w:r>
              <w:t>В настоящем отчете о НИР применяют следующие сокращения и обозначения</w:t>
            </w:r>
            <w:r w:rsidR="00640CDB">
              <w:t>:</w:t>
            </w:r>
          </w:p>
          <w:tbl>
            <w:tblPr>
              <w:tblStyle w:val="a3"/>
              <w:tblW w:w="8507" w:type="dxa"/>
              <w:tblLayout w:type="fixed"/>
              <w:tblLook w:val="0600" w:firstRow="0" w:lastRow="0" w:firstColumn="0" w:lastColumn="0" w:noHBand="1" w:noVBand="1"/>
            </w:tblPr>
            <w:tblGrid>
              <w:gridCol w:w="8507"/>
            </w:tblGrid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 xml:space="preserve">ДМСО - </w:t>
                  </w:r>
                  <w:proofErr w:type="spellStart"/>
                  <w:r>
                    <w:t>Диметилсульфоксид</w:t>
                  </w:r>
                  <w:proofErr w:type="spellEnd"/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804"/>
                    </w:tabs>
                    <w:spacing w:line="360" w:lineRule="auto"/>
                    <w:contextualSpacing/>
                    <w:jc w:val="both"/>
                  </w:pPr>
                  <w:r>
                    <w:rPr>
                      <w:color w:val="000000"/>
                    </w:rPr>
                    <w:t xml:space="preserve">ДМЭ - </w:t>
                  </w:r>
                  <w:proofErr w:type="spellStart"/>
                  <w:r>
                    <w:rPr>
                      <w:color w:val="000000"/>
                    </w:rPr>
                    <w:t>Диметоксиэтан</w:t>
                  </w:r>
                  <w:proofErr w:type="spellEnd"/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>ИК - Инфракрасная (спектроскопия)</w:t>
                  </w:r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>ЛИА - Литий-ионный аккумулятор</w:t>
                  </w:r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>ПТФЭ - Политетрафторэтилен</w:t>
                  </w:r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 xml:space="preserve">ПДМС - </w:t>
                  </w:r>
                  <w:proofErr w:type="spellStart"/>
                  <w:r>
                    <w:t>Полидиметилсилоксан</w:t>
                  </w:r>
                  <w:proofErr w:type="spellEnd"/>
                </w:p>
              </w:tc>
            </w:tr>
            <w:tr w:rsidR="00366F33" w:rsidTr="00896F67">
              <w:trPr>
                <w:trHeight w:val="378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>РФА - Рентгенофазовый анализ</w:t>
                  </w:r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 xml:space="preserve">СЭМ - Сканирующая электронная микроскопия  </w:t>
                  </w:r>
                </w:p>
              </w:tc>
            </w:tr>
            <w:tr w:rsidR="00366F33" w:rsidTr="00896F67">
              <w:trPr>
                <w:trHeight w:val="363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 xml:space="preserve">ТЭНГ - Трибоэлектрический </w:t>
                  </w:r>
                  <w:proofErr w:type="spellStart"/>
                  <w:r>
                    <w:t>наногенератор</w:t>
                  </w:r>
                  <w:proofErr w:type="spellEnd"/>
                </w:p>
              </w:tc>
            </w:tr>
            <w:tr w:rsidR="00366F33" w:rsidTr="00896F67">
              <w:trPr>
                <w:trHeight w:val="741"/>
              </w:trPr>
              <w:tc>
                <w:tcPr>
                  <w:tcW w:w="8507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66F33" w:rsidRDefault="00366F33" w:rsidP="00366F33">
                  <w:pPr>
                    <w:tabs>
                      <w:tab w:val="left" w:pos="567"/>
                    </w:tabs>
                    <w:spacing w:line="360" w:lineRule="auto"/>
                    <w:contextualSpacing/>
                  </w:pPr>
                  <w:r>
                    <w:t xml:space="preserve">CVD - </w:t>
                  </w:r>
                  <w:proofErr w:type="spellStart"/>
                  <w:r>
                    <w:t>Chemical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vapor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deposition</w:t>
                  </w:r>
                  <w:proofErr w:type="spellEnd"/>
                  <w:r>
                    <w:t xml:space="preserve"> (Химическое осаждение из паровой фазы)</w:t>
                  </w:r>
                </w:p>
              </w:tc>
            </w:tr>
          </w:tbl>
          <w:p w:rsidR="0050656A" w:rsidRDefault="0050656A">
            <w:pPr>
              <w:tabs>
                <w:tab w:val="left" w:pos="567"/>
              </w:tabs>
              <w:spacing w:line="360" w:lineRule="auto"/>
              <w:jc w:val="center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  <w:jc w:val="center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</w:pPr>
          </w:p>
          <w:p w:rsidR="0050656A" w:rsidRDefault="0050656A">
            <w:pPr>
              <w:tabs>
                <w:tab w:val="left" w:pos="804"/>
              </w:tabs>
              <w:jc w:val="both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</w:pPr>
          </w:p>
          <w:p w:rsidR="008A40EC" w:rsidRDefault="008A40EC">
            <w:pPr>
              <w:tabs>
                <w:tab w:val="left" w:pos="567"/>
              </w:tabs>
              <w:spacing w:line="360" w:lineRule="auto"/>
            </w:pPr>
          </w:p>
          <w:p w:rsidR="008A40EC" w:rsidRDefault="008A40EC">
            <w:pPr>
              <w:tabs>
                <w:tab w:val="left" w:pos="567"/>
              </w:tabs>
              <w:spacing w:line="360" w:lineRule="auto"/>
            </w:pPr>
          </w:p>
          <w:p w:rsidR="008A40EC" w:rsidRDefault="008A40EC">
            <w:pPr>
              <w:tabs>
                <w:tab w:val="left" w:pos="567"/>
              </w:tabs>
              <w:spacing w:line="360" w:lineRule="auto"/>
            </w:pPr>
          </w:p>
          <w:p w:rsidR="008A40EC" w:rsidRDefault="008A40EC">
            <w:pPr>
              <w:tabs>
                <w:tab w:val="left" w:pos="567"/>
              </w:tabs>
              <w:spacing w:line="360" w:lineRule="auto"/>
            </w:pPr>
          </w:p>
          <w:p w:rsidR="008A40EC" w:rsidRDefault="008A40EC">
            <w:pPr>
              <w:tabs>
                <w:tab w:val="left" w:pos="567"/>
              </w:tabs>
              <w:spacing w:line="360" w:lineRule="auto"/>
            </w:pPr>
          </w:p>
          <w:p w:rsidR="008A40EC" w:rsidRDefault="008A40EC">
            <w:pPr>
              <w:tabs>
                <w:tab w:val="left" w:pos="567"/>
              </w:tabs>
              <w:spacing w:line="360" w:lineRule="auto"/>
            </w:pPr>
          </w:p>
          <w:p w:rsidR="00C76886" w:rsidRDefault="00C76886">
            <w:pPr>
              <w:tabs>
                <w:tab w:val="left" w:pos="567"/>
              </w:tabs>
              <w:spacing w:line="360" w:lineRule="auto"/>
            </w:pPr>
          </w:p>
          <w:p w:rsidR="0050656A" w:rsidRDefault="0050656A">
            <w:pPr>
              <w:tabs>
                <w:tab w:val="left" w:pos="567"/>
              </w:tabs>
              <w:spacing w:line="360" w:lineRule="auto"/>
            </w:pPr>
          </w:p>
        </w:tc>
        <w:tc>
          <w:tcPr>
            <w:tcW w:w="225" w:type="dxa"/>
          </w:tcPr>
          <w:p w:rsidR="0050656A" w:rsidRDefault="0050656A">
            <w:pPr>
              <w:tabs>
                <w:tab w:val="left" w:pos="567"/>
              </w:tabs>
              <w:spacing w:line="360" w:lineRule="auto"/>
              <w:jc w:val="both"/>
              <w:rPr>
                <w:color w:val="000000"/>
              </w:rPr>
            </w:pPr>
          </w:p>
        </w:tc>
      </w:tr>
    </w:tbl>
    <w:p w:rsidR="0050656A" w:rsidRDefault="00F868D6">
      <w:pPr>
        <w:widowControl w:val="0"/>
        <w:tabs>
          <w:tab w:val="left" w:pos="567"/>
        </w:tabs>
        <w:spacing w:line="360" w:lineRule="auto"/>
        <w:jc w:val="center"/>
        <w:rPr>
          <w:b/>
        </w:rPr>
      </w:pPr>
      <w:r>
        <w:rPr>
          <w:b/>
        </w:rPr>
        <w:lastRenderedPageBreak/>
        <w:t>ВВЕДЕНИЕ</w:t>
      </w: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Трибоэлектрический </w:t>
      </w:r>
      <w:proofErr w:type="spellStart"/>
      <w:r>
        <w:rPr>
          <w:color w:val="000000"/>
        </w:rPr>
        <w:t>наногенератор</w:t>
      </w:r>
      <w:proofErr w:type="spellEnd"/>
      <w:r>
        <w:rPr>
          <w:color w:val="000000"/>
        </w:rPr>
        <w:t xml:space="preserve"> (ТЭНГ) – это технология сбора энергии, которая основана на явлениях </w:t>
      </w:r>
      <w:proofErr w:type="spellStart"/>
      <w:r>
        <w:rPr>
          <w:color w:val="000000"/>
        </w:rPr>
        <w:t>трибоэлектрификации</w:t>
      </w:r>
      <w:proofErr w:type="spellEnd"/>
      <w:r>
        <w:rPr>
          <w:color w:val="000000"/>
        </w:rPr>
        <w:t>, наведенная контактным способом наэлектризованность, при которой материал становится электрически заряженным, после тог</w:t>
      </w:r>
      <w:r w:rsidR="00366F33">
        <w:rPr>
          <w:color w:val="000000"/>
        </w:rPr>
        <w:t xml:space="preserve">о как он осуществляет контакт с </w:t>
      </w:r>
      <w:r>
        <w:rPr>
          <w:color w:val="000000"/>
        </w:rPr>
        <w:t>другим материалом посредством трения, и электростатической индукции между двумя материалами [1]. Интерес к данной технологии вызван в связи со значительным прогрессом в таких областях как интернет вещей, облачные вычисления, а также увеличением количества разнообразной персональной электроники и сенсоров в разных областях человеческой жизнедеятельности, что делает необходимым исследования новых технологий производства электроэнергии [2]. Особенно привлекательными являются технологии, которые позволяют создать автономные системы, где источник генерирующий электричество и потребляющее устройство объединены в единой системе. Более того, новые электронные технологии предъявляют различные требования к характеристикам, такие как гибкость, растяжимость, надежность, безопасность и автономность. ТЭНГ является тем устройством, который позволяет реализовать автономный блок питания, исходя из результатов исследований достигнутых к настоящему моменту, а именно, были разработаны ТЭНГ с конструктивными решениями позволившими достичь пиковой выходной мощности 500 Вт м</w:t>
      </w:r>
      <w:r>
        <w:rPr>
          <w:color w:val="000000"/>
          <w:vertAlign w:val="superscript"/>
        </w:rPr>
        <w:t>–2</w:t>
      </w:r>
      <w:r>
        <w:rPr>
          <w:color w:val="000000"/>
        </w:rPr>
        <w:t xml:space="preserve"> с эффективностью преобразования энергии равной 85% [3]. Стоит отметить, что помимо высокой выходной производительности, преимуществами ТЭНГ по сравнению с другими технологиями сбора энергии являются низкая стоимость, простота изготовления, масштабируемость, а также они могут генерировать электричество из низкочастотных механических возмущений. 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Человеческое тело - эффективный источник энергии для носимой электроники. Повседневная деятельность, такая как прогулка или движение руки взрослого человека, может обеспечить кинетическую мощность примерно  равную 67 и 60 Вт, соответственно. Небольшой части этой мощности будет достаточно для энергообеспечения многих видов портативных устройств [4].Особенности функционирования ТЭНГ позволяют создать их на основе  текстильных материалов и данный подход обеспечивает потенциально более эффективный способ преобразования энергии движений человека, и создание текстильного ТЭНГ является одним из прогрессивных направлений создания носимого блока питания, интегрируемого в одежду или тело человека для энергообеспечения персональных портативных устройств [5].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Двумя главными компонентами при разработке текстильных ТЭНГ являются трибоэлектрический материал и токопроводящий электрод [6]. В текстильных ТЭНГ нашли </w:t>
      </w:r>
      <w:r>
        <w:rPr>
          <w:color w:val="000000"/>
        </w:rPr>
        <w:lastRenderedPageBreak/>
        <w:t xml:space="preserve">применение в качестве материала </w:t>
      </w:r>
      <w:proofErr w:type="spellStart"/>
      <w:r>
        <w:rPr>
          <w:color w:val="000000"/>
        </w:rPr>
        <w:t>трибоэлектрификации</w:t>
      </w:r>
      <w:proofErr w:type="spellEnd"/>
      <w:r>
        <w:rPr>
          <w:color w:val="000000"/>
        </w:rPr>
        <w:t xml:space="preserve"> искусственные полимерные нити (полиэстер, нейлон, </w:t>
      </w:r>
      <w:proofErr w:type="spellStart"/>
      <w:r>
        <w:rPr>
          <w:color w:val="000000"/>
        </w:rPr>
        <w:t>полиакрил</w:t>
      </w:r>
      <w:proofErr w:type="spellEnd"/>
      <w:r>
        <w:rPr>
          <w:color w:val="000000"/>
        </w:rPr>
        <w:t xml:space="preserve">) и натуральные полимерные нити (хлопок, шелк, шерсть). Трудность заключается во внедрении в ткань ТЭНГ соответствующих проводящих электродов для создания направленного потока </w:t>
      </w:r>
      <w:proofErr w:type="spellStart"/>
      <w:r>
        <w:rPr>
          <w:color w:val="000000"/>
        </w:rPr>
        <w:t>электростатически</w:t>
      </w:r>
      <w:proofErr w:type="spellEnd"/>
      <w:r>
        <w:rPr>
          <w:color w:val="000000"/>
        </w:rPr>
        <w:t xml:space="preserve"> индуцированных зарядов. Металлические нити из меди и стали являются классическим электродом при создании ТЭНГ, что обусловлено их высокой проводимостью и доступностью. С другой стороны лимитирующими факторами широкого применения металлических нитей являются их ограниченная стойкость к частым сгибаниям и приверженность некоторых металлических нитей коррозии. Композитные электроды, разработанные на основе полимерных синтетических и натуральных нитей, с нанесенными на них металлическими </w:t>
      </w:r>
      <w:proofErr w:type="spellStart"/>
      <w:r>
        <w:rPr>
          <w:color w:val="000000"/>
        </w:rPr>
        <w:t>наночастицами</w:t>
      </w:r>
      <w:proofErr w:type="spellEnd"/>
      <w:r>
        <w:rPr>
          <w:color w:val="000000"/>
        </w:rPr>
        <w:t xml:space="preserve"> или проводящими полимерами, привлекли внимание вследствие того, что они легко органически встраиваются в любую структуру текстильных ТЭНГ. Органические проводящие полимеры очень технологичны: они имеют высокую проводимость, сравнимую с проводимостью металлов и полупроводников, и в то же время обладают механическими свойствами пластмасс: легкостью, пластичностью, прочностью.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С другой стороны, практическое применение </w:t>
      </w:r>
      <w:proofErr w:type="spellStart"/>
      <w:r>
        <w:rPr>
          <w:color w:val="000000"/>
        </w:rPr>
        <w:t>ТЭНГов</w:t>
      </w:r>
      <w:proofErr w:type="spellEnd"/>
      <w:r>
        <w:rPr>
          <w:color w:val="000000"/>
        </w:rPr>
        <w:t xml:space="preserve"> с целью питания электронных устройств все еще невозможно без применения аккумулятора, используемых в качестве промежуточных накопителей энергии. Интеграция </w:t>
      </w:r>
      <w:proofErr w:type="spellStart"/>
      <w:r>
        <w:rPr>
          <w:color w:val="000000"/>
        </w:rPr>
        <w:t>наногенераторов</w:t>
      </w:r>
      <w:proofErr w:type="spellEnd"/>
      <w:r>
        <w:rPr>
          <w:color w:val="000000"/>
        </w:rPr>
        <w:t xml:space="preserve"> с литий-ионными аккумуляторами (ЛИА) рассматривается как возможность создания единой системы энергообеспечения портативных электронных устройств. Преимуществами литий-ионных аккумуляторов является высокое выходное напряжение, длительный срок службы, а также они наиболее безопасны по сравнению с другими типами аккумуляторов. В настоящее время работы по улучшению характеристик ЛИБ ведутся не только в таких направлениях, как разработка композитных электродов, твердых электролитов, улучшение безопасности, но и возможности создания гибких компонентов аккумулятора, что очень важно при разработке носимого блока питания. Так создание гибких электродов с высокой производительностью связана с применением новых одномерных и двумерных структур, включая </w:t>
      </w:r>
      <w:proofErr w:type="spellStart"/>
      <w:r>
        <w:rPr>
          <w:color w:val="000000"/>
        </w:rPr>
        <w:t>нанотрубки</w:t>
      </w:r>
      <w:proofErr w:type="spellEnd"/>
      <w:r>
        <w:rPr>
          <w:color w:val="000000"/>
        </w:rPr>
        <w:t xml:space="preserve">, углеродные волокна и </w:t>
      </w:r>
      <w:proofErr w:type="spellStart"/>
      <w:r>
        <w:rPr>
          <w:color w:val="000000"/>
        </w:rPr>
        <w:t>графен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наноструктурированный</w:t>
      </w:r>
      <w:proofErr w:type="spellEnd"/>
      <w:r>
        <w:rPr>
          <w:color w:val="000000"/>
        </w:rPr>
        <w:t xml:space="preserve"> кремний, а также </w:t>
      </w:r>
      <w:proofErr w:type="spellStart"/>
      <w:r>
        <w:rPr>
          <w:color w:val="000000"/>
        </w:rPr>
        <w:t>наноструктурированные</w:t>
      </w:r>
      <w:proofErr w:type="spellEnd"/>
      <w:r>
        <w:rPr>
          <w:color w:val="000000"/>
        </w:rPr>
        <w:t xml:space="preserve"> оксиды металлов и традиционные катодные материалы. Немаловажным является и характеристики подложек гибких электродов, такие как гибкость, механическая прочность, способность проводить электричество [7].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В настоящее время применяется два подхода при создании комбинации активных материалов и гибких подложек. Первый подход заключается в применении гибкой проводящей матрицы, встроенной в токоприемник или подложки  с прочно закрепленными на них активными материалами. Второй метод предполагает использование субстрата с </w:t>
      </w:r>
      <w:r>
        <w:rPr>
          <w:color w:val="000000"/>
        </w:rPr>
        <w:lastRenderedPageBreak/>
        <w:t xml:space="preserve">желаемыми свойствами, такого как </w:t>
      </w:r>
      <w:proofErr w:type="spellStart"/>
      <w:r>
        <w:rPr>
          <w:color w:val="000000"/>
        </w:rPr>
        <w:t>полидиметилсилоксан</w:t>
      </w:r>
      <w:proofErr w:type="spellEnd"/>
      <w:r>
        <w:rPr>
          <w:color w:val="000000"/>
        </w:rPr>
        <w:t xml:space="preserve"> (ПДМС), пластик и хлопок [8]. Также стоит отметить для создания гибких аккумуляторов электрохимические свойства катодных и анодных электродов играют основную роль.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Например, литий-серные аккумуляторы (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 xml:space="preserve">-S), где сера входит в состав катода, привлекают большое внимание исследователей вследствие их высокой теоретической емкости, а также сера и его соединения широко распространены в природе. Сера имеет теоретическую удельную емкость 1675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и высокую плотность энергии около 2600 </w:t>
      </w:r>
      <w:proofErr w:type="spellStart"/>
      <w:r>
        <w:rPr>
          <w:color w:val="000000"/>
        </w:rPr>
        <w:t>Втч</w:t>
      </w:r>
      <w:proofErr w:type="spellEnd"/>
      <w:r>
        <w:rPr>
          <w:color w:val="000000"/>
        </w:rPr>
        <w:t xml:space="preserve"> кг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в пересчете на массу, предполагая полную реакцию с литием [9]. 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        Несмотря на то, что 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 xml:space="preserve">-S аккумуляторы находятся в стадии серьезных исследований, их коммерциализация все еще сдерживается из-за их низкой проводимости, короткого срока службы и высокой скорости саморазряда. Основные проблемы, с которыми сталкиваются 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 xml:space="preserve">-S аккумуляторы, ухудшающие их электрохимические характеристики, заключаются в огромном изменении объема, вызванном реакциями конверсии, изолирующей природе серы, челночных реакциях, связанных с растворенным </w:t>
      </w:r>
      <w:proofErr w:type="spellStart"/>
      <w:r>
        <w:rPr>
          <w:color w:val="000000"/>
        </w:rPr>
        <w:t>полисульфидом</w:t>
      </w:r>
      <w:proofErr w:type="spellEnd"/>
      <w:r>
        <w:rPr>
          <w:color w:val="000000"/>
        </w:rPr>
        <w:t xml:space="preserve"> лития (Li</w:t>
      </w:r>
      <w:r>
        <w:rPr>
          <w:color w:val="000000"/>
          <w:vertAlign w:val="subscript"/>
        </w:rPr>
        <w:t>2</w:t>
      </w:r>
      <w:r>
        <w:rPr>
          <w:color w:val="000000"/>
        </w:rPr>
        <w:t>S</w:t>
      </w:r>
      <w:r>
        <w:rPr>
          <w:color w:val="000000"/>
          <w:vertAlign w:val="subscript"/>
        </w:rPr>
        <w:t>x</w:t>
      </w:r>
      <w:r>
        <w:rPr>
          <w:color w:val="000000"/>
        </w:rPr>
        <w:t xml:space="preserve">, x &gt; 2) в электролите [10]. Разные исследования были проведены для улучшения свойств серных электродов, и на данной стадии дополнительные работы смогут лишь еще более приблизить использование 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 xml:space="preserve">-S аккумуляторов, в особенности в носимой гибкой электронике.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Еще один популярный вид катодов привлекающих большое внимание исследователей - это сульфиды металлов (</w:t>
      </w:r>
      <w:proofErr w:type="spellStart"/>
      <w:r>
        <w:rPr>
          <w:color w:val="000000"/>
        </w:rPr>
        <w:t>Cu</w:t>
      </w:r>
      <w:r>
        <w:rPr>
          <w:color w:val="000000"/>
          <w:vertAlign w:val="subscript"/>
        </w:rPr>
        <w:t>x</w:t>
      </w:r>
      <w:r>
        <w:rPr>
          <w:color w:val="000000"/>
        </w:rPr>
        <w:t>S</w:t>
      </w:r>
      <w:r>
        <w:rPr>
          <w:color w:val="000000"/>
          <w:vertAlign w:val="subscript"/>
        </w:rPr>
        <w:t>y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Ni</w:t>
      </w:r>
      <w:r>
        <w:rPr>
          <w:color w:val="000000"/>
          <w:vertAlign w:val="subscript"/>
        </w:rPr>
        <w:t>x</w:t>
      </w:r>
      <w:r>
        <w:rPr>
          <w:color w:val="000000"/>
        </w:rPr>
        <w:t>S</w:t>
      </w:r>
      <w:r>
        <w:rPr>
          <w:color w:val="000000"/>
          <w:vertAlign w:val="subscript"/>
        </w:rPr>
        <w:t>y</w:t>
      </w:r>
      <w:proofErr w:type="spellEnd"/>
      <w:r>
        <w:rPr>
          <w:color w:val="000000"/>
        </w:rPr>
        <w:t xml:space="preserve"> и т.д.). Сообщается, что они демонстрируют впечатляющие электрохимические свойства, такие как длительная </w:t>
      </w:r>
      <w:proofErr w:type="spellStart"/>
      <w:r>
        <w:rPr>
          <w:color w:val="000000"/>
        </w:rPr>
        <w:t>циклируемость</w:t>
      </w:r>
      <w:proofErr w:type="spellEnd"/>
      <w:r>
        <w:rPr>
          <w:color w:val="000000"/>
        </w:rPr>
        <w:t xml:space="preserve"> и способность к высокой скорости заряда и разряда. Особенно привлекательны сульфиды меди  благодаря своей высокой проводимости (1×10</w:t>
      </w:r>
      <w:r>
        <w:rPr>
          <w:color w:val="000000"/>
          <w:vertAlign w:val="superscript"/>
        </w:rPr>
        <w:t>–3</w:t>
      </w:r>
      <w:r>
        <w:rPr>
          <w:color w:val="000000"/>
        </w:rPr>
        <w:t xml:space="preserve"> См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>), низкой стоимости и экологическим характеристикам. Сульфиды меди (</w:t>
      </w:r>
      <w:proofErr w:type="spellStart"/>
      <w:r>
        <w:rPr>
          <w:color w:val="000000"/>
        </w:rPr>
        <w:t>Cu</w:t>
      </w:r>
      <w:r>
        <w:rPr>
          <w:color w:val="000000"/>
          <w:vertAlign w:val="subscript"/>
        </w:rPr>
        <w:t>x</w:t>
      </w:r>
      <w:r>
        <w:rPr>
          <w:color w:val="000000"/>
        </w:rPr>
        <w:t>S</w:t>
      </w:r>
      <w:proofErr w:type="spellEnd"/>
      <w:r>
        <w:rPr>
          <w:color w:val="000000"/>
        </w:rPr>
        <w:t xml:space="preserve">, x=1-2) являются бинарными и включают множество нестехиометрических соединений, с теоретическими удельными емкостями, варьирующими от 337 до 560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[11]. Однако, 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>/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системы все еще не могут быть </w:t>
      </w:r>
      <w:proofErr w:type="spellStart"/>
      <w:r>
        <w:rPr>
          <w:color w:val="000000"/>
        </w:rPr>
        <w:t>коммерциализированы</w:t>
      </w:r>
      <w:proofErr w:type="spellEnd"/>
      <w:r>
        <w:rPr>
          <w:color w:val="000000"/>
        </w:rPr>
        <w:t xml:space="preserve"> из-за низкого срока службы, низкого использования активного материала и низкой эффективности заряда, что связано с растворением </w:t>
      </w:r>
      <w:proofErr w:type="spellStart"/>
      <w:r>
        <w:rPr>
          <w:color w:val="000000"/>
        </w:rPr>
        <w:t>полисульфидов</w:t>
      </w:r>
      <w:proofErr w:type="spellEnd"/>
      <w:r>
        <w:rPr>
          <w:color w:val="000000"/>
        </w:rPr>
        <w:t xml:space="preserve"> лития, образующихся во время разряда. Кроме того, мало внимания уделено изменению объема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во время процесса </w:t>
      </w:r>
      <w:proofErr w:type="spellStart"/>
      <w:r>
        <w:rPr>
          <w:color w:val="000000"/>
        </w:rPr>
        <w:t>литирования</w:t>
      </w:r>
      <w:proofErr w:type="spellEnd"/>
      <w:r>
        <w:rPr>
          <w:color w:val="000000"/>
        </w:rPr>
        <w:t xml:space="preserve">, что приводит к измельчению материала и сокращению срока службы электрохимического цикла. В то же время стоит упомянуть, что процедура синтеза соединений сульфида меди являются громоздкими и требуют сложных процессов и высоких температур, а также использования дополнительных инструментов, поверхностно-активных веществ, катализаторов или </w:t>
      </w:r>
      <w:proofErr w:type="spellStart"/>
      <w:r>
        <w:rPr>
          <w:color w:val="000000"/>
        </w:rPr>
        <w:t>темплатов</w:t>
      </w:r>
      <w:proofErr w:type="spellEnd"/>
      <w:r>
        <w:rPr>
          <w:color w:val="000000"/>
        </w:rPr>
        <w:t>, которые увеличивают стоимость, загрязнение и потребление электроэнергии.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lastRenderedPageBreak/>
        <w:t xml:space="preserve">Разработка специальной архитектуры многообещающий подход по смягчению деградации электродов, в том числе серы и его сульфидов. Так называемые интеллектуальные электроды с трехмерной архитектурой позволяют существенно повысить удельные характеристики аккумуляторов. Особенности пористой структуры электрода с однородными и непрерывными электродами обеспечивают быструю транспортировку как электронов, так и ионов лития [11]. 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В связи с этим в отчетном году были поставлены следующие основные задачи:</w:t>
      </w:r>
    </w:p>
    <w:p w:rsidR="0050656A" w:rsidRDefault="00F868D6" w:rsidP="00DE65E1">
      <w:pPr>
        <w:numPr>
          <w:ilvl w:val="0"/>
          <w:numId w:val="9"/>
        </w:numPr>
        <w:tabs>
          <w:tab w:val="left" w:pos="8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Изучить методы создания электродов для трибоэлектрических </w:t>
      </w:r>
      <w:proofErr w:type="spellStart"/>
      <w:r>
        <w:rPr>
          <w:color w:val="000000"/>
        </w:rPr>
        <w:t>наногенераторов</w:t>
      </w:r>
      <w:proofErr w:type="spellEnd"/>
      <w:r>
        <w:rPr>
          <w:color w:val="000000"/>
        </w:rPr>
        <w:t xml:space="preserve"> на основе проводящих полимеров;</w:t>
      </w:r>
    </w:p>
    <w:p w:rsidR="0050656A" w:rsidRDefault="00F868D6" w:rsidP="00DE65E1">
      <w:pPr>
        <w:numPr>
          <w:ilvl w:val="0"/>
          <w:numId w:val="9"/>
        </w:numPr>
        <w:tabs>
          <w:tab w:val="left" w:pos="8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Приготовить предварительные образцы пар трибоэлектрических материалов (нити) и связать текстильные трибоэлектрические </w:t>
      </w:r>
      <w:proofErr w:type="spellStart"/>
      <w:r>
        <w:rPr>
          <w:color w:val="000000"/>
        </w:rPr>
        <w:t>наногенераторы</w:t>
      </w:r>
      <w:proofErr w:type="spellEnd"/>
      <w:r>
        <w:rPr>
          <w:color w:val="000000"/>
        </w:rPr>
        <w:t xml:space="preserve"> на их основе;</w:t>
      </w:r>
    </w:p>
    <w:p w:rsidR="0050656A" w:rsidRDefault="00F868D6" w:rsidP="00DE65E1">
      <w:pPr>
        <w:numPr>
          <w:ilvl w:val="0"/>
          <w:numId w:val="9"/>
        </w:numPr>
        <w:tabs>
          <w:tab w:val="left" w:pos="8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>Определить выходные электрические параметры ТЭНГ;</w:t>
      </w:r>
    </w:p>
    <w:p w:rsidR="0050656A" w:rsidRDefault="00F868D6" w:rsidP="00DE65E1">
      <w:pPr>
        <w:numPr>
          <w:ilvl w:val="0"/>
          <w:numId w:val="9"/>
        </w:numPr>
        <w:tabs>
          <w:tab w:val="left" w:pos="8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Получить предварительные образцы гибких катодов для ЛИА и исследовать их характеристики. </w:t>
      </w:r>
    </w:p>
    <w:p w:rsidR="0050656A" w:rsidRDefault="0050656A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</w:p>
    <w:p w:rsidR="0050656A" w:rsidRDefault="0050656A">
      <w:pPr>
        <w:tabs>
          <w:tab w:val="left" w:pos="804"/>
        </w:tabs>
        <w:ind w:firstLine="720"/>
        <w:jc w:val="both"/>
        <w:rPr>
          <w:color w:val="000000"/>
        </w:rPr>
      </w:pPr>
    </w:p>
    <w:p w:rsidR="0050656A" w:rsidRDefault="0050656A">
      <w:pPr>
        <w:tabs>
          <w:tab w:val="left" w:pos="804"/>
        </w:tabs>
        <w:ind w:firstLine="720"/>
        <w:jc w:val="both"/>
        <w:rPr>
          <w:color w:val="000000"/>
        </w:rPr>
      </w:pPr>
    </w:p>
    <w:p w:rsidR="0050656A" w:rsidRDefault="0050656A">
      <w:pPr>
        <w:tabs>
          <w:tab w:val="left" w:pos="804"/>
        </w:tabs>
        <w:ind w:firstLine="720"/>
        <w:jc w:val="both"/>
        <w:rPr>
          <w:color w:val="000000"/>
        </w:rPr>
      </w:pPr>
    </w:p>
    <w:p w:rsidR="0050656A" w:rsidRDefault="00F868D6">
      <w:pPr>
        <w:rPr>
          <w:color w:val="000000"/>
        </w:rPr>
      </w:pPr>
      <w:r>
        <w:rPr>
          <w:color w:val="000000"/>
        </w:rPr>
        <w:tab/>
      </w: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D32531" w:rsidRDefault="00D32531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50656A" w:rsidRDefault="0050656A">
      <w:pPr>
        <w:rPr>
          <w:color w:val="000000"/>
        </w:rPr>
      </w:pPr>
    </w:p>
    <w:p w:rsidR="008A40EC" w:rsidRDefault="008A40EC">
      <w:pPr>
        <w:rPr>
          <w:color w:val="000000"/>
        </w:rPr>
      </w:pPr>
    </w:p>
    <w:p w:rsidR="00DE65E1" w:rsidRDefault="00DE65E1">
      <w:pPr>
        <w:rPr>
          <w:color w:val="000000"/>
        </w:rPr>
      </w:pPr>
    </w:p>
    <w:p w:rsidR="008A40EC" w:rsidRPr="009568E2" w:rsidRDefault="008A40EC" w:rsidP="00DE65E1">
      <w:pPr>
        <w:widowControl w:val="0"/>
        <w:tabs>
          <w:tab w:val="left" w:pos="567"/>
        </w:tabs>
        <w:spacing w:line="360" w:lineRule="auto"/>
        <w:jc w:val="center"/>
        <w:rPr>
          <w:b/>
        </w:rPr>
      </w:pPr>
      <w:r>
        <w:rPr>
          <w:b/>
        </w:rPr>
        <w:lastRenderedPageBreak/>
        <w:t>ОСНОВНАЯ ЧАСТЬ</w:t>
      </w:r>
      <w:r w:rsidR="009568E2" w:rsidRPr="009568E2">
        <w:rPr>
          <w:b/>
        </w:rPr>
        <w:t xml:space="preserve"> </w:t>
      </w:r>
      <w:r w:rsidR="009568E2">
        <w:rPr>
          <w:b/>
        </w:rPr>
        <w:t>ОТЧЕТА О НИР</w:t>
      </w:r>
    </w:p>
    <w:p w:rsidR="00896F67" w:rsidRDefault="00896F67" w:rsidP="00DE65E1">
      <w:pPr>
        <w:widowControl w:val="0"/>
        <w:tabs>
          <w:tab w:val="left" w:pos="567"/>
        </w:tabs>
        <w:spacing w:line="360" w:lineRule="auto"/>
        <w:jc w:val="center"/>
        <w:rPr>
          <w:b/>
        </w:rPr>
      </w:pPr>
    </w:p>
    <w:p w:rsidR="0050656A" w:rsidRPr="008A40EC" w:rsidRDefault="00F868D6" w:rsidP="00DE65E1">
      <w:pPr>
        <w:spacing w:line="360" w:lineRule="auto"/>
        <w:ind w:firstLine="720"/>
        <w:rPr>
          <w:b/>
        </w:rPr>
      </w:pPr>
      <w:r w:rsidRPr="008A40EC">
        <w:rPr>
          <w:b/>
          <w:color w:val="000000"/>
        </w:rPr>
        <w:t>1 Подготовка и характеристика ТЭНГ текстиля</w:t>
      </w: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В данном проекте мы применили два подхода к разработке трибоэлектрических нитей с целью создания текстильных ТЭНГ: в первом подходе в качестве электрода была применена обычная металлическая нить, а во втором электроды для текстильных ТЭНГ были получены путем покрытия натуральных и синтетических нитей проводящим полимером, таким как 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.</w:t>
      </w:r>
    </w:p>
    <w:p w:rsidR="0050656A" w:rsidRPr="001167D2" w:rsidRDefault="00F868D6" w:rsidP="00DE65E1">
      <w:pPr>
        <w:pStyle w:val="ListParagraph"/>
        <w:widowControl w:val="0"/>
        <w:numPr>
          <w:ilvl w:val="1"/>
          <w:numId w:val="10"/>
        </w:numPr>
        <w:tabs>
          <w:tab w:val="left" w:pos="709"/>
        </w:tabs>
        <w:spacing w:line="360" w:lineRule="auto"/>
        <w:jc w:val="both"/>
        <w:rPr>
          <w:b/>
        </w:rPr>
      </w:pPr>
      <w:r w:rsidRPr="001167D2">
        <w:rPr>
          <w:b/>
          <w:highlight w:val="white"/>
        </w:rPr>
        <w:t>Изучение и получение материалов трибоэлектрических пар</w:t>
      </w:r>
    </w:p>
    <w:p w:rsidR="0050656A" w:rsidRDefault="00F40387" w:rsidP="00DE65E1">
      <w:pPr>
        <w:widowControl w:val="0"/>
        <w:tabs>
          <w:tab w:val="left" w:pos="709"/>
        </w:tabs>
        <w:spacing w:line="360" w:lineRule="auto"/>
        <w:jc w:val="both"/>
        <w:rPr>
          <w:i/>
          <w:color w:val="000000"/>
        </w:rPr>
      </w:pPr>
      <w:r>
        <w:rPr>
          <w:i/>
          <w:color w:val="000000"/>
        </w:rPr>
        <w:tab/>
      </w:r>
      <w:r w:rsidR="00F868D6">
        <w:rPr>
          <w:i/>
          <w:color w:val="000000"/>
        </w:rPr>
        <w:t>Приготовление нитей, трибоэлектрических пар, с использованием медного электрода.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Трибоэлектрические пары в виде нитей, с применением медной нити в качестве электрода, были приготовлены для последующего вязания ТЭНГ. 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  <w:sz w:val="20"/>
          <w:szCs w:val="20"/>
        </w:rPr>
      </w:pPr>
      <w:r>
        <w:rPr>
          <w:color w:val="000000"/>
        </w:rPr>
        <w:t>Принципиальная схема иллюстрирующая процесс изготовления трибоэлектрических нитей показана на рисунке 1, где композитная нить состоит из внешнего материала диэлектрика и проводящей нити, в нашем случае была использована медная нить. Для изготовления композитных нитей сначала закрепили медную нить в середине вращающейся опоры, а затем диэлектрические нити с помощью вращающегося устройства были намотаны на нее. В качестве диэлектрических трибоэлектрических нитей использовали шерсть, полиэстер, политетрафторэтилен (ПТФЭ).</w:t>
      </w:r>
    </w:p>
    <w:p w:rsidR="0050656A" w:rsidRDefault="0050656A" w:rsidP="00DE65E1">
      <w:pPr>
        <w:widowControl w:val="0"/>
        <w:tabs>
          <w:tab w:val="left" w:pos="567"/>
        </w:tabs>
        <w:spacing w:line="360" w:lineRule="auto"/>
        <w:ind w:firstLine="630"/>
        <w:jc w:val="both"/>
        <w:rPr>
          <w:color w:val="000000"/>
        </w:rPr>
      </w:pPr>
    </w:p>
    <w:p w:rsidR="0050656A" w:rsidRDefault="00F868D6" w:rsidP="00DE65E1">
      <w:pPr>
        <w:widowControl w:val="0"/>
        <w:tabs>
          <w:tab w:val="left" w:pos="-5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3739896" cy="1355712"/>
            <wp:effectExtent l="0" t="0" r="0" b="0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9896" cy="13557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50656A" w:rsidP="00DE65E1">
      <w:pPr>
        <w:widowControl w:val="0"/>
        <w:tabs>
          <w:tab w:val="left" w:pos="-5"/>
        </w:tabs>
        <w:spacing w:line="360" w:lineRule="auto"/>
        <w:jc w:val="center"/>
        <w:rPr>
          <w:color w:val="000000"/>
        </w:rPr>
      </w:pPr>
    </w:p>
    <w:p w:rsidR="0050656A" w:rsidRDefault="00F868D6" w:rsidP="00DE65E1">
      <w:pPr>
        <w:widowControl w:val="0"/>
        <w:tabs>
          <w:tab w:val="left" w:pos="-5"/>
        </w:tabs>
        <w:spacing w:line="360" w:lineRule="auto"/>
        <w:jc w:val="center"/>
        <w:rPr>
          <w:color w:val="000000"/>
        </w:rPr>
      </w:pPr>
      <w:r>
        <w:rPr>
          <w:color w:val="000000"/>
        </w:rPr>
        <w:t xml:space="preserve">Рисунок 1 </w:t>
      </w:r>
      <w:r w:rsidR="008722C7">
        <w:rPr>
          <w:color w:val="000000"/>
        </w:rPr>
        <w:t>–</w:t>
      </w:r>
      <w:r>
        <w:rPr>
          <w:color w:val="000000"/>
        </w:rPr>
        <w:t xml:space="preserve"> Принципиальная схема процесса изготовления трибоэлектрических нитей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630"/>
        <w:jc w:val="both"/>
        <w:rPr>
          <w:color w:val="000000"/>
        </w:rPr>
      </w:pPr>
      <w:r>
        <w:rPr>
          <w:color w:val="000000"/>
        </w:rPr>
        <w:t xml:space="preserve"> 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Так как в паре трибоэлектрических материалов один должен обладать способностью захватывать, а другой отдавать заряды, исходя из этого, материалы были выбраны согласно трибоэлектрическому ряду (Рисунок 2).</w:t>
      </w:r>
    </w:p>
    <w:p w:rsidR="00D90692" w:rsidRDefault="00D90692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630"/>
        <w:jc w:val="both"/>
        <w:rPr>
          <w:color w:val="000000"/>
        </w:rPr>
      </w:pPr>
      <w:r>
        <w:rPr>
          <w:color w:val="000000"/>
        </w:rPr>
        <w:t xml:space="preserve"> 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630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lastRenderedPageBreak/>
        <w:drawing>
          <wp:inline distT="114300" distB="114300" distL="114300" distR="114300">
            <wp:extent cx="3425286" cy="2268979"/>
            <wp:effectExtent l="0" t="0" r="0" b="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5286" cy="22689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DE65E1" w:rsidP="00DE65E1">
      <w:pPr>
        <w:widowControl w:val="0"/>
        <w:tabs>
          <w:tab w:val="left" w:pos="567"/>
        </w:tabs>
        <w:spacing w:line="360" w:lineRule="auto"/>
        <w:ind w:firstLine="630"/>
        <w:jc w:val="center"/>
        <w:rPr>
          <w:color w:val="000000"/>
        </w:rPr>
      </w:pPr>
      <w:r>
        <w:rPr>
          <w:color w:val="000000"/>
        </w:rPr>
        <w:t xml:space="preserve">Рисунок 2 – </w:t>
      </w:r>
      <w:r w:rsidR="00F868D6">
        <w:rPr>
          <w:color w:val="000000"/>
        </w:rPr>
        <w:t xml:space="preserve">Обобщенный трибоэлектрический ряд некоторых материалов </w:t>
      </w:r>
    </w:p>
    <w:p w:rsidR="00D90692" w:rsidRDefault="00D90692" w:rsidP="00DE65E1">
      <w:pPr>
        <w:widowControl w:val="0"/>
        <w:tabs>
          <w:tab w:val="left" w:pos="567"/>
        </w:tabs>
        <w:spacing w:line="360" w:lineRule="auto"/>
        <w:ind w:firstLine="630"/>
        <w:jc w:val="center"/>
        <w:rPr>
          <w:color w:val="000000"/>
        </w:rPr>
      </w:pPr>
    </w:p>
    <w:p w:rsidR="0050656A" w:rsidRDefault="00F868D6" w:rsidP="00DE65E1">
      <w:pPr>
        <w:widowControl w:val="0"/>
        <w:tabs>
          <w:tab w:val="left" w:pos="71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В данном проекте были приготовлены следующие композитные трибоэлектрические нити:</w:t>
      </w:r>
    </w:p>
    <w:p w:rsidR="0050656A" w:rsidRDefault="00F868D6" w:rsidP="00DE65E1">
      <w:pPr>
        <w:widowControl w:val="0"/>
        <w:numPr>
          <w:ilvl w:val="0"/>
          <w:numId w:val="6"/>
        </w:numPr>
        <w:tabs>
          <w:tab w:val="left" w:pos="567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</w:t>
      </w:r>
    </w:p>
    <w:p w:rsidR="0050656A" w:rsidRDefault="00F868D6" w:rsidP="00DE65E1">
      <w:pPr>
        <w:widowControl w:val="0"/>
        <w:numPr>
          <w:ilvl w:val="0"/>
          <w:numId w:val="6"/>
        </w:numPr>
        <w:tabs>
          <w:tab w:val="left" w:pos="567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Полиэстер/медная нить</w:t>
      </w:r>
    </w:p>
    <w:p w:rsidR="0050656A" w:rsidRPr="00F40387" w:rsidRDefault="00F868D6" w:rsidP="00DE65E1">
      <w:pPr>
        <w:widowControl w:val="0"/>
        <w:numPr>
          <w:ilvl w:val="0"/>
          <w:numId w:val="6"/>
        </w:numPr>
        <w:tabs>
          <w:tab w:val="left" w:pos="567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ПТФЭ/медная нить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Из приготовленных композитных нитей были составлены три пары для последующего вязания текстильных ТЭНГ, один элемент пары был постоянным, в нашем случае мы выбрали композиционную нить на основе шерсти. Так были получены следующие три пары:</w:t>
      </w:r>
    </w:p>
    <w:p w:rsidR="0050656A" w:rsidRDefault="00F868D6" w:rsidP="00DE65E1">
      <w:pPr>
        <w:widowControl w:val="0"/>
        <w:numPr>
          <w:ilvl w:val="0"/>
          <w:numId w:val="3"/>
        </w:numPr>
        <w:spacing w:line="360" w:lineRule="auto"/>
        <w:ind w:left="1080" w:hanging="360"/>
        <w:jc w:val="both"/>
        <w:rPr>
          <w:color w:val="000000"/>
        </w:rPr>
      </w:pPr>
      <w:r>
        <w:rPr>
          <w:color w:val="000000"/>
        </w:rPr>
        <w:t>Шерсть/медная нить + шерсть/ПДМС/медная нить</w:t>
      </w:r>
    </w:p>
    <w:p w:rsidR="0050656A" w:rsidRDefault="00F868D6" w:rsidP="00DE65E1">
      <w:pPr>
        <w:widowControl w:val="0"/>
        <w:numPr>
          <w:ilvl w:val="0"/>
          <w:numId w:val="3"/>
        </w:numPr>
        <w:tabs>
          <w:tab w:val="left" w:pos="714"/>
        </w:tabs>
        <w:spacing w:line="360" w:lineRule="auto"/>
        <w:ind w:left="1080" w:hanging="360"/>
        <w:jc w:val="both"/>
        <w:rPr>
          <w:color w:val="000000"/>
        </w:rPr>
      </w:pPr>
      <w:r>
        <w:rPr>
          <w:color w:val="000000"/>
        </w:rPr>
        <w:t>Шерсть/медная нить + полиэстер/медная нить</w:t>
      </w:r>
    </w:p>
    <w:p w:rsidR="0050656A" w:rsidRPr="00F40387" w:rsidRDefault="00F868D6" w:rsidP="00DE65E1">
      <w:pPr>
        <w:widowControl w:val="0"/>
        <w:numPr>
          <w:ilvl w:val="0"/>
          <w:numId w:val="3"/>
        </w:numPr>
        <w:tabs>
          <w:tab w:val="left" w:pos="567"/>
        </w:tabs>
        <w:spacing w:line="360" w:lineRule="auto"/>
        <w:ind w:left="1080" w:hanging="360"/>
        <w:jc w:val="both"/>
        <w:rPr>
          <w:color w:val="000000"/>
        </w:rPr>
      </w:pPr>
      <w:r>
        <w:rPr>
          <w:color w:val="000000"/>
        </w:rPr>
        <w:t>Шерсть/м</w:t>
      </w:r>
      <w:r w:rsidR="00F40387">
        <w:rPr>
          <w:color w:val="000000"/>
        </w:rPr>
        <w:t>едная нить + ПТФЭ/медная нить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Стоит отметить, что в первой паре применялся один тип трибоэлектрического материала для двух нитей, шерстяная нить. Вследствие того, что трибоэлектрический эффект отсутствует при контакте однородных материалов, то вторую композитную нить покрыли </w:t>
      </w:r>
      <w:proofErr w:type="spellStart"/>
      <w:r>
        <w:rPr>
          <w:color w:val="000000"/>
        </w:rPr>
        <w:t>полидиметилсилоксаном</w:t>
      </w:r>
      <w:proofErr w:type="spellEnd"/>
      <w:r>
        <w:rPr>
          <w:color w:val="000000"/>
        </w:rPr>
        <w:t xml:space="preserve"> (ПДМС) с целью изменения полярности композитной нити.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Трибоэлектрическая нить, покрытая ПДМС, была получена путем намотки шерстяной нити вокруг медной нити с последующим нанесением на ее поверхность ПДМС (</w:t>
      </w:r>
      <w:proofErr w:type="spellStart"/>
      <w:r>
        <w:rPr>
          <w:color w:val="000000"/>
        </w:rPr>
        <w:t>Sylgard</w:t>
      </w:r>
      <w:proofErr w:type="spellEnd"/>
      <w:r>
        <w:rPr>
          <w:color w:val="000000"/>
        </w:rPr>
        <w:t xml:space="preserve"> 184) с целью придания ей </w:t>
      </w:r>
      <w:proofErr w:type="spellStart"/>
      <w:r>
        <w:rPr>
          <w:color w:val="000000"/>
        </w:rPr>
        <w:t>трибонегативных</w:t>
      </w:r>
      <w:proofErr w:type="spellEnd"/>
      <w:r>
        <w:rPr>
          <w:color w:val="000000"/>
        </w:rPr>
        <w:t xml:space="preserve"> характеристик. Раствор ПДМС был приготовлен путем тщательного перемешивания основы и отвердителя в соотношении 10:1. Изображения приготовленной композитной нити, полученные с помощью оптического микроскопа, представлены на рисунке 3 (а, б).</w:t>
      </w:r>
    </w:p>
    <w:p w:rsidR="00D90692" w:rsidRDefault="00D90692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</w:p>
    <w:p w:rsidR="00D90692" w:rsidRDefault="00D90692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590800" cy="2181225"/>
            <wp:effectExtent l="0" t="0" r="0" b="0"/>
            <wp:docPr id="3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181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590800" cy="2171700"/>
            <wp:effectExtent l="0" t="0" r="0" b="0"/>
            <wp:docPr id="2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0F22" w:rsidRDefault="000F0F22" w:rsidP="002600DD">
      <w:pPr>
        <w:tabs>
          <w:tab w:val="left" w:pos="804"/>
        </w:tabs>
        <w:jc w:val="center"/>
        <w:rPr>
          <w:color w:val="000000"/>
        </w:rPr>
      </w:pPr>
    </w:p>
    <w:p w:rsidR="008925E4" w:rsidRDefault="008925E4" w:rsidP="008925E4">
      <w:pPr>
        <w:tabs>
          <w:tab w:val="left" w:pos="804"/>
        </w:tabs>
        <w:ind w:firstLine="700"/>
        <w:rPr>
          <w:color w:val="000000"/>
        </w:rPr>
      </w:pPr>
      <w:r>
        <w:rPr>
          <w:color w:val="000000"/>
        </w:rPr>
        <w:t xml:space="preserve">а – концевой части; б – средней части </w:t>
      </w:r>
    </w:p>
    <w:p w:rsidR="008925E4" w:rsidRDefault="008925E4" w:rsidP="008925E4">
      <w:pPr>
        <w:tabs>
          <w:tab w:val="left" w:pos="804"/>
        </w:tabs>
        <w:ind w:firstLine="700"/>
        <w:jc w:val="center"/>
        <w:rPr>
          <w:color w:val="000000"/>
        </w:rPr>
      </w:pPr>
      <w:r>
        <w:rPr>
          <w:color w:val="000000"/>
        </w:rPr>
        <w:t>Рисунок 3 – Фото изображения композитной нити (шерстяная нить/медная нить)</w:t>
      </w:r>
    </w:p>
    <w:p w:rsidR="003F4DBF" w:rsidRDefault="003F4DBF" w:rsidP="00DE65E1">
      <w:pPr>
        <w:pBdr>
          <w:top w:val="nil"/>
          <w:left w:val="nil"/>
          <w:bottom w:val="nil"/>
          <w:right w:val="nil"/>
          <w:between w:val="nil"/>
        </w:pBdr>
        <w:tabs>
          <w:tab w:val="left" w:pos="-5"/>
        </w:tabs>
        <w:spacing w:line="360" w:lineRule="auto"/>
        <w:jc w:val="both"/>
        <w:rPr>
          <w:color w:val="000000"/>
        </w:rPr>
      </w:pP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</w:r>
      <w:r>
        <w:rPr>
          <w:i/>
          <w:color w:val="000000"/>
        </w:rPr>
        <w:t xml:space="preserve">Приготовление проводящих нитей (электродов) из нейлона, полиэстера и шерсти покрытых </w:t>
      </w:r>
      <w:proofErr w:type="spellStart"/>
      <w:r>
        <w:rPr>
          <w:i/>
          <w:color w:val="000000"/>
        </w:rPr>
        <w:t>полипирролом</w:t>
      </w:r>
      <w:proofErr w:type="spellEnd"/>
      <w:r>
        <w:rPr>
          <w:i/>
          <w:color w:val="000000"/>
        </w:rPr>
        <w:t>.</w:t>
      </w:r>
      <w:r>
        <w:rPr>
          <w:color w:val="000000"/>
        </w:rPr>
        <w:t xml:space="preserve"> </w:t>
      </w: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Другой альтернативой широко используемым медным или стальным нитям, применяющихся в качестве электрода в текстильных ТЭНГ, является применение нитей покрытых проводящими полимерами, такими как 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полианилин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полиацетилен</w:t>
      </w:r>
      <w:proofErr w:type="spellEnd"/>
      <w:r>
        <w:rPr>
          <w:color w:val="000000"/>
        </w:rPr>
        <w:t xml:space="preserve">. В данном проекте в качестве проводящего полимера выбран 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.</w:t>
      </w: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 xml:space="preserve"> привлекает специалистов из различных областей науки и техники в связи с возможным его использованием в качестве электродного материала для накопителей энергии, материала для фото- и электролюминесценции, датчиков. Более того, благодаря своей полупроводниковой природе он может быть использован в качестве потенциально многообещающего электрода для мощных ТЭНГ.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</w:rPr>
        <w:tab/>
      </w:r>
      <w:r>
        <w:rPr>
          <w:color w:val="000000"/>
        </w:rPr>
        <w:t xml:space="preserve">Проводящие нити были получены широко применяемой низкотемпературной </w:t>
      </w:r>
      <w:proofErr w:type="spellStart"/>
      <w:r>
        <w:rPr>
          <w:i/>
          <w:color w:val="000000"/>
        </w:rPr>
        <w:t>in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situ</w:t>
      </w:r>
      <w:proofErr w:type="spellEnd"/>
      <w:r>
        <w:rPr>
          <w:color w:val="000000"/>
        </w:rPr>
        <w:t xml:space="preserve"> полимеризацией пиррола, которая является простой и экономичной. Приготовление композитных электродов включала предварительную обработку нитей (очищение поверхности) и полимеризацию.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>Было исследовано влияние двух подходов применяемых при полимеризации пиррола с целью получения проводящих нитей. В первом способе нити после удаления примесей с поверхности погружались в раствор пиррола с концентрацией равной 0,5М с целью его пропитки мономером. После пропитки нити погружались в раствор окислителя на 20 мин при 0-4 °С, который представляет собой смесь 1М FeCl</w:t>
      </w:r>
      <w:r>
        <w:rPr>
          <w:color w:val="000000"/>
          <w:vertAlign w:val="subscript"/>
        </w:rPr>
        <w:t>3</w:t>
      </w:r>
      <w:r>
        <w:rPr>
          <w:color w:val="000000"/>
        </w:rPr>
        <w:t xml:space="preserve"> и 0,02М п-</w:t>
      </w:r>
      <w:proofErr w:type="spellStart"/>
      <w:r>
        <w:rPr>
          <w:color w:val="000000"/>
        </w:rPr>
        <w:t>толуолсульфоновой</w:t>
      </w:r>
      <w:proofErr w:type="spellEnd"/>
      <w:r>
        <w:rPr>
          <w:color w:val="000000"/>
        </w:rPr>
        <w:t xml:space="preserve"> кислоты. При этих условиях на поверхности нитей начинает протекать реакция полимеризации, о чем можно судить по характерному изменению цвета раствора. </w:t>
      </w:r>
      <w:r>
        <w:rPr>
          <w:color w:val="000000"/>
        </w:rPr>
        <w:lastRenderedPageBreak/>
        <w:t xml:space="preserve">После полимеризации покрытые </w:t>
      </w:r>
      <w:proofErr w:type="spellStart"/>
      <w:r>
        <w:rPr>
          <w:color w:val="000000"/>
        </w:rPr>
        <w:t>полипирролом</w:t>
      </w:r>
      <w:proofErr w:type="spellEnd"/>
      <w:r>
        <w:rPr>
          <w:color w:val="000000"/>
        </w:rPr>
        <w:t xml:space="preserve"> нити тщательно промывали </w:t>
      </w:r>
      <w:proofErr w:type="spellStart"/>
      <w:r>
        <w:rPr>
          <w:color w:val="000000"/>
        </w:rPr>
        <w:t>деионизированной</w:t>
      </w:r>
      <w:proofErr w:type="spellEnd"/>
      <w:r>
        <w:rPr>
          <w:color w:val="000000"/>
        </w:rPr>
        <w:t xml:space="preserve"> водой и сушили в печи при 60 °C в течение 2 ч. Отличием второго подхода получения проводящих нитей заключается в том, что нити в начале погружались в раствор мономера и затем туда сразу добавляли окислитель. Полимеризация проводилась при тех же условиях, что и первый способ.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>С помощью растровой (сканирующей) электронной микроскопии были получены изображения поверхности нитей до и после полимеризации, где наличие частиц полимера на поверхности будет свидетельствовать о получении проводящих электричество нитей.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На рисунке 4 показаны снимки исходных нитей (нейлон, полиэстер, шерсть) полученных растровой (сканирующей) электронной микроскопией. Исходные нити представляют собой переплетения множества </w:t>
      </w:r>
      <w:proofErr w:type="spellStart"/>
      <w:r>
        <w:rPr>
          <w:color w:val="000000"/>
        </w:rPr>
        <w:t>микроволокон</w:t>
      </w:r>
      <w:proofErr w:type="spellEnd"/>
      <w:r>
        <w:rPr>
          <w:color w:val="000000"/>
        </w:rPr>
        <w:t xml:space="preserve"> с гладкой морфологией поверхности.</w:t>
      </w:r>
    </w:p>
    <w:p w:rsidR="0050656A" w:rsidRDefault="0050656A" w:rsidP="002600DD">
      <w:pPr>
        <w:tabs>
          <w:tab w:val="left" w:pos="804"/>
        </w:tabs>
        <w:jc w:val="both"/>
        <w:rPr>
          <w:color w:val="000000"/>
        </w:rPr>
      </w:pPr>
    </w:p>
    <w:p w:rsidR="0050656A" w:rsidRDefault="00F868D6" w:rsidP="008925E4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1925003" cy="1331946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5003" cy="1331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1913368" cy="1325406"/>
            <wp:effectExtent l="0" t="0" r="0" b="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368" cy="13254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1909829" cy="1334931"/>
            <wp:effectExtent l="0" t="0" r="0" b="0"/>
            <wp:docPr id="3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9829" cy="13349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 </w:t>
      </w:r>
    </w:p>
    <w:p w:rsidR="008925E4" w:rsidRDefault="008925E4" w:rsidP="008925E4">
      <w:pPr>
        <w:tabs>
          <w:tab w:val="left" w:pos="804"/>
        </w:tabs>
        <w:ind w:firstLine="709"/>
        <w:rPr>
          <w:color w:val="000000"/>
        </w:rPr>
      </w:pPr>
      <w:r>
        <w:rPr>
          <w:color w:val="000000"/>
        </w:rPr>
        <w:t xml:space="preserve">а – нейлоновые; б – </w:t>
      </w:r>
      <w:proofErr w:type="spellStart"/>
      <w:r>
        <w:rPr>
          <w:color w:val="000000"/>
        </w:rPr>
        <w:t>полиэстерные</w:t>
      </w:r>
      <w:proofErr w:type="spellEnd"/>
      <w:r>
        <w:rPr>
          <w:color w:val="000000"/>
        </w:rPr>
        <w:t>; в – шерстяные</w:t>
      </w:r>
    </w:p>
    <w:p w:rsidR="008925E4" w:rsidRDefault="008925E4" w:rsidP="008925E4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 xml:space="preserve">Рисунок 4 – СЭМ-изображения исходных нитей </w:t>
      </w:r>
    </w:p>
    <w:p w:rsidR="0050656A" w:rsidRDefault="0050656A" w:rsidP="002600DD">
      <w:pPr>
        <w:tabs>
          <w:tab w:val="left" w:pos="804"/>
        </w:tabs>
        <w:jc w:val="center"/>
        <w:rPr>
          <w:color w:val="000000"/>
        </w:rPr>
      </w:pPr>
    </w:p>
    <w:p w:rsidR="0050656A" w:rsidRDefault="00583D43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>На рисунке 5 а</w:t>
      </w:r>
      <w:r w:rsidR="00F868D6">
        <w:rPr>
          <w:color w:val="000000"/>
        </w:rPr>
        <w:t xml:space="preserve"> показано изображение поверхности проводящей нейлоновой нити после полимеризации, полученной первым способом, где нить на вначале погружалась в раствор пиррола, далее после пропитки пирролом нить погружалась в раствор окислителя. Поверхность после полимеризации остается гладкой. Однако, на поверхности проводящей нити, полученной вторым способом, как</w:t>
      </w:r>
      <w:r>
        <w:rPr>
          <w:color w:val="000000"/>
        </w:rPr>
        <w:t xml:space="preserve"> видно из рисунка 5 б</w:t>
      </w:r>
      <w:r w:rsidR="00F868D6">
        <w:rPr>
          <w:color w:val="000000"/>
        </w:rPr>
        <w:t xml:space="preserve"> наблюдается наличие макромолекул </w:t>
      </w:r>
      <w:proofErr w:type="spellStart"/>
      <w:r w:rsidR="00F868D6">
        <w:rPr>
          <w:color w:val="000000"/>
        </w:rPr>
        <w:t>полипиррола</w:t>
      </w:r>
      <w:proofErr w:type="spellEnd"/>
      <w:r w:rsidR="00F868D6">
        <w:rPr>
          <w:color w:val="000000"/>
        </w:rPr>
        <w:t>, что можно объяснить более эффективной полимеризацией вследствие того, что нить погружалась в раствор одновременно содержащий мономер и окислитель.</w:t>
      </w:r>
    </w:p>
    <w:p w:rsidR="0050656A" w:rsidRDefault="0050656A" w:rsidP="00DE65E1">
      <w:pPr>
        <w:tabs>
          <w:tab w:val="left" w:pos="804"/>
        </w:tabs>
        <w:spacing w:line="360" w:lineRule="auto"/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noProof/>
          <w:color w:val="000000"/>
          <w:lang w:val="en-US" w:eastAsia="en-US"/>
        </w:rPr>
        <w:lastRenderedPageBreak/>
        <w:drawing>
          <wp:inline distT="114300" distB="114300" distL="114300" distR="114300">
            <wp:extent cx="2926080" cy="2038502"/>
            <wp:effectExtent l="0" t="0" r="0" b="0"/>
            <wp:docPr id="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385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926080" cy="2038502"/>
            <wp:effectExtent l="0" t="0" r="0" b="0"/>
            <wp:docPr id="1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385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12DE2" w:rsidRDefault="00D12DE2" w:rsidP="00DE65E1">
      <w:pPr>
        <w:tabs>
          <w:tab w:val="left" w:pos="804"/>
        </w:tabs>
        <w:spacing w:line="360" w:lineRule="auto"/>
        <w:ind w:firstLine="709"/>
        <w:rPr>
          <w:color w:val="000000"/>
        </w:rPr>
      </w:pPr>
    </w:p>
    <w:p w:rsidR="008925E4" w:rsidRDefault="008925E4" w:rsidP="008925E4">
      <w:pPr>
        <w:tabs>
          <w:tab w:val="left" w:pos="804"/>
        </w:tabs>
        <w:ind w:firstLine="709"/>
        <w:rPr>
          <w:color w:val="000000"/>
        </w:rPr>
      </w:pPr>
      <w:r>
        <w:rPr>
          <w:color w:val="000000"/>
        </w:rPr>
        <w:t xml:space="preserve">а – первым способом; б – вторым способом </w:t>
      </w:r>
    </w:p>
    <w:p w:rsidR="008925E4" w:rsidRDefault="008925E4" w:rsidP="008925E4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 xml:space="preserve">Рисунок 5 – СЭМ снимки нейлоновых нитей после полимеризации полученных разными способами </w:t>
      </w: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Изображения нитей из полиэстера полученных двумя методами проведения полимеризации </w:t>
      </w:r>
      <w:proofErr w:type="spellStart"/>
      <w:r>
        <w:rPr>
          <w:color w:val="000000"/>
        </w:rPr>
        <w:t>пол</w:t>
      </w:r>
      <w:r w:rsidR="00583D43">
        <w:rPr>
          <w:color w:val="000000"/>
        </w:rPr>
        <w:t>ипиррола</w:t>
      </w:r>
      <w:proofErr w:type="spellEnd"/>
      <w:r w:rsidR="00583D43">
        <w:rPr>
          <w:color w:val="000000"/>
        </w:rPr>
        <w:t xml:space="preserve"> показаны на рисунке 6 а, б</w:t>
      </w:r>
      <w:r>
        <w:rPr>
          <w:color w:val="000000"/>
        </w:rPr>
        <w:t xml:space="preserve">. На данных нитях вне зависимости от способа проведения полимеризации на поверхности </w:t>
      </w:r>
      <w:proofErr w:type="spellStart"/>
      <w:r>
        <w:rPr>
          <w:color w:val="000000"/>
        </w:rPr>
        <w:t>микроволокон</w:t>
      </w:r>
      <w:proofErr w:type="spellEnd"/>
      <w:r>
        <w:rPr>
          <w:color w:val="000000"/>
        </w:rPr>
        <w:t xml:space="preserve"> полиэстера наблюдаются макромолекулы образовавшегося </w:t>
      </w:r>
      <w:proofErr w:type="spellStart"/>
      <w:r>
        <w:rPr>
          <w:color w:val="000000"/>
        </w:rPr>
        <w:t>полипиррола</w:t>
      </w:r>
      <w:proofErr w:type="spellEnd"/>
      <w:r>
        <w:rPr>
          <w:color w:val="000000"/>
        </w:rPr>
        <w:t>. Как видно из снимков молекул полимера больше на нити, где полимеризация проводилась в растворе одновременно содержащий пиррол и окислитель, хлорид железа.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    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926080" cy="2038502"/>
            <wp:effectExtent l="0" t="0" r="0" b="0"/>
            <wp:docPr id="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385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926080" cy="2038502"/>
            <wp:effectExtent l="0" t="0" r="0" b="0"/>
            <wp:docPr id="1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385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50656A" w:rsidP="002600DD">
      <w:pPr>
        <w:tabs>
          <w:tab w:val="left" w:pos="804"/>
        </w:tabs>
        <w:jc w:val="center"/>
        <w:rPr>
          <w:color w:val="000000"/>
        </w:rPr>
      </w:pPr>
    </w:p>
    <w:p w:rsidR="008925E4" w:rsidRDefault="008925E4" w:rsidP="008925E4">
      <w:pPr>
        <w:tabs>
          <w:tab w:val="left" w:pos="804"/>
        </w:tabs>
        <w:ind w:firstLine="709"/>
        <w:rPr>
          <w:color w:val="000000"/>
        </w:rPr>
      </w:pPr>
      <w:r>
        <w:rPr>
          <w:color w:val="000000"/>
        </w:rPr>
        <w:t xml:space="preserve">а – первым способом; б – вторым способом </w:t>
      </w:r>
    </w:p>
    <w:p w:rsidR="008925E4" w:rsidRDefault="008925E4" w:rsidP="008925E4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>Рисунок 6 – СЭМ снимки нитей из полиэстера после полимеризации полученных разными способами</w:t>
      </w:r>
    </w:p>
    <w:p w:rsidR="0050656A" w:rsidRDefault="0050656A" w:rsidP="002600DD">
      <w:pPr>
        <w:tabs>
          <w:tab w:val="left" w:pos="804"/>
        </w:tabs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Аналогично двум предыдущим полученным проводящим нитям, нейлон и полиэстер, после проведения полимеризации на поверхности шерстяных нитей можно наблюдать наличие частиц полимера (рисунок 7 а, б). Как и в случае нейлона и полиэстера, при проведении полимеризации непосредственно в растворе мономера и окислителя, без </w:t>
      </w:r>
      <w:r>
        <w:rPr>
          <w:color w:val="000000"/>
        </w:rPr>
        <w:lastRenderedPageBreak/>
        <w:t>предварительной абсорбции мономера шерстяной нитью, на поверхности конечной проводящей нити наблюдается более высокое содержание нанесенных полимеров.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926080" cy="2028749"/>
            <wp:effectExtent l="0" t="0" r="0" b="0"/>
            <wp:docPr id="23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287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2926080" cy="2028749"/>
            <wp:effectExtent l="0" t="0" r="0" b="0"/>
            <wp:docPr id="1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287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50656A" w:rsidP="002600DD">
      <w:pPr>
        <w:tabs>
          <w:tab w:val="left" w:pos="804"/>
        </w:tabs>
        <w:jc w:val="center"/>
        <w:rPr>
          <w:color w:val="000000"/>
        </w:rPr>
      </w:pPr>
    </w:p>
    <w:p w:rsidR="008925E4" w:rsidRDefault="008925E4" w:rsidP="008925E4">
      <w:pPr>
        <w:tabs>
          <w:tab w:val="left" w:pos="804"/>
        </w:tabs>
        <w:ind w:firstLine="709"/>
        <w:rPr>
          <w:color w:val="000000"/>
        </w:rPr>
      </w:pPr>
      <w:r>
        <w:rPr>
          <w:color w:val="000000"/>
        </w:rPr>
        <w:t xml:space="preserve">а – первым способом; б – вторым способом </w:t>
      </w:r>
    </w:p>
    <w:p w:rsidR="008925E4" w:rsidRDefault="008925E4" w:rsidP="008925E4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 xml:space="preserve">Рисунок 7 – СЭМ снимки нитей из шерсти после полимеризации полученных разными способами </w:t>
      </w:r>
    </w:p>
    <w:p w:rsidR="0050656A" w:rsidRDefault="0050656A" w:rsidP="002600DD">
      <w:pPr>
        <w:tabs>
          <w:tab w:val="left" w:pos="804"/>
        </w:tabs>
        <w:rPr>
          <w:color w:val="000000"/>
        </w:rPr>
      </w:pP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Дополнительно были проведены исследования нитей с помощью ИК Фурье спектроскопии. ИК спектры исходного и покрытых </w:t>
      </w:r>
      <w:proofErr w:type="spellStart"/>
      <w:r>
        <w:rPr>
          <w:color w:val="000000"/>
        </w:rPr>
        <w:t>полипирролом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найлоновых</w:t>
      </w:r>
      <w:proofErr w:type="spellEnd"/>
      <w:r>
        <w:rPr>
          <w:color w:val="000000"/>
        </w:rPr>
        <w:t xml:space="preserve"> нитей представлены на рисунке 8а. Так, в исходном спектре полоса абсорбции при 3296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обусловлена валентными колебаниями водородной связи в </w:t>
      </w:r>
      <w:proofErr w:type="spellStart"/>
      <w:r>
        <w:rPr>
          <w:color w:val="000000"/>
        </w:rPr>
        <w:t>амиде</w:t>
      </w:r>
      <w:proofErr w:type="spellEnd"/>
      <w:r>
        <w:rPr>
          <w:color w:val="000000"/>
        </w:rPr>
        <w:t xml:space="preserve"> (II), полосы поглощения при 1536 и 1631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относятся к деформационным колебаниям водородных связей </w:t>
      </w:r>
      <w:proofErr w:type="spellStart"/>
      <w:r>
        <w:rPr>
          <w:color w:val="000000"/>
        </w:rPr>
        <w:t>амида</w:t>
      </w:r>
      <w:proofErr w:type="spellEnd"/>
      <w:r>
        <w:rPr>
          <w:color w:val="000000"/>
        </w:rPr>
        <w:t xml:space="preserve"> (II) и </w:t>
      </w:r>
      <w:proofErr w:type="spellStart"/>
      <w:r>
        <w:rPr>
          <w:color w:val="000000"/>
        </w:rPr>
        <w:t>амида</w:t>
      </w:r>
      <w:proofErr w:type="spellEnd"/>
      <w:r>
        <w:rPr>
          <w:color w:val="000000"/>
        </w:rPr>
        <w:t xml:space="preserve"> (I), соответственно. Полоса поглощения при 3071 см</w:t>
      </w:r>
      <w:r>
        <w:rPr>
          <w:color w:val="000000"/>
          <w:vertAlign w:val="superscript"/>
        </w:rPr>
        <w:t>-1</w:t>
      </w:r>
      <w:r>
        <w:rPr>
          <w:color w:val="000000"/>
        </w:rPr>
        <w:t xml:space="preserve"> относится к колебаниям внутримолекулярных связей между амидной и карбонильной группами (CO-NH</w:t>
      </w:r>
      <w:r>
        <w:rPr>
          <w:color w:val="000000"/>
          <w:vertAlign w:val="subscript"/>
        </w:rPr>
        <w:t>2</w:t>
      </w:r>
      <w:r>
        <w:rPr>
          <w:color w:val="000000"/>
        </w:rPr>
        <w:t>). Пик при 2931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можно отнести к симметричным валентным колебаниям групп -CH</w:t>
      </w:r>
      <w:r>
        <w:rPr>
          <w:color w:val="000000"/>
          <w:vertAlign w:val="subscript"/>
        </w:rPr>
        <w:t>2</w:t>
      </w:r>
      <w:r>
        <w:rPr>
          <w:color w:val="000000"/>
        </w:rPr>
        <w:t>, тогда как полоса поглощения при 2861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соответствует к асимметричным валентным колебаниям групп  -CH</w:t>
      </w:r>
      <w:r>
        <w:rPr>
          <w:color w:val="000000"/>
          <w:vertAlign w:val="subscript"/>
        </w:rPr>
        <w:t>3</w:t>
      </w:r>
      <w:r>
        <w:rPr>
          <w:color w:val="000000"/>
        </w:rPr>
        <w:t>. Полоса поглощения при 726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относится к наличию цепи -(CH</w:t>
      </w:r>
      <w:r>
        <w:rPr>
          <w:color w:val="000000"/>
          <w:vertAlign w:val="subscript"/>
        </w:rPr>
        <w:t>2</w:t>
      </w:r>
      <w:r>
        <w:rPr>
          <w:color w:val="000000"/>
        </w:rPr>
        <w:t>)</w:t>
      </w:r>
      <w:r>
        <w:rPr>
          <w:color w:val="000000"/>
          <w:vertAlign w:val="subscript"/>
        </w:rPr>
        <w:t>n</w:t>
      </w:r>
      <w:r>
        <w:rPr>
          <w:color w:val="000000"/>
        </w:rPr>
        <w:t xml:space="preserve">. Спектры полученных проводящих композитных нейлоновых нитей показывают, что характеристические полосы поглощения относящиеся к нейлону остались неизменными, но в зависимости от способа проведения полимеризации их интенсивность меняется. Так, можно наблюдать уменьшение интенсивности полос поглощения относящихся к нейлону при проведении полимеризации в растворе мономера и окислителя (второй способ) и с предварительной пропиткой в растворе мономера (первый способ). </w:t>
      </w: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</w:rPr>
        <w:tab/>
        <w:t>ИК спектр исходной нити из полиэстера (рисунок 8б) демонстрирует наличие валентных колебаний связи C-H при 2961 и 2906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>, полосы поглощения при 1235, 1090 и 1015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обусловлены колебаниями связи C-O. Полосу поглощения при 1709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можно отнести к валентным колебаниям </w:t>
      </w:r>
      <w:proofErr w:type="spellStart"/>
      <w:r>
        <w:rPr>
          <w:color w:val="000000"/>
        </w:rPr>
        <w:t>карбонила</w:t>
      </w:r>
      <w:proofErr w:type="spellEnd"/>
      <w:r>
        <w:rPr>
          <w:color w:val="000000"/>
        </w:rPr>
        <w:t xml:space="preserve"> (C=O), а характерный пик при 720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относится к поглощению ИК излучения ароматическим кольцом. Полосы поглощения в спектрах полученных проводящих нитей на основе полиэстера слабо выражены. Пики при </w:t>
      </w:r>
      <w:r>
        <w:rPr>
          <w:color w:val="000000"/>
        </w:rPr>
        <w:lastRenderedPageBreak/>
        <w:t>1522 и 1441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можно отнести к валентным колебаниям связей С-С и С-N в кольце пиррола, соответственно. Полосу поглощения при 3669 см</w:t>
      </w:r>
      <w:r>
        <w:rPr>
          <w:color w:val="000000"/>
          <w:vertAlign w:val="superscript"/>
        </w:rPr>
        <w:t xml:space="preserve">–1  </w:t>
      </w:r>
      <w:r>
        <w:rPr>
          <w:color w:val="000000"/>
        </w:rPr>
        <w:t xml:space="preserve">можно отнести к валентным колебаниям связи N-H.  </w:t>
      </w:r>
      <w:r>
        <w:rPr>
          <w:color w:val="000000"/>
          <w:sz w:val="28"/>
          <w:szCs w:val="28"/>
        </w:rPr>
        <w:t xml:space="preserve"> </w:t>
      </w:r>
    </w:p>
    <w:p w:rsidR="0050656A" w:rsidRDefault="00F868D6" w:rsidP="00DE65E1">
      <w:pPr>
        <w:tabs>
          <w:tab w:val="left" w:pos="71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>На рисунке 6в показан ИК спектр исходной шерстяной нити, где полосы поглощения при 3271 и 1631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относятся к валентным колебаниям связей N-H и C=O, соответственно. Интервал от 3000 до 2800 см</w:t>
      </w:r>
      <w:r>
        <w:rPr>
          <w:color w:val="000000"/>
          <w:vertAlign w:val="superscript"/>
        </w:rPr>
        <w:t xml:space="preserve">–1 </w:t>
      </w:r>
      <w:r>
        <w:rPr>
          <w:color w:val="000000"/>
        </w:rPr>
        <w:t>характеризуется различными полосами поглощения связей -СН, пик при 1514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может быть отнесен к деформационным колебаниям CHN, а полосы при 1252 и 1074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относятся к </w:t>
      </w:r>
      <w:proofErr w:type="spellStart"/>
      <w:r>
        <w:rPr>
          <w:color w:val="000000"/>
        </w:rPr>
        <w:t>амиду</w:t>
      </w:r>
      <w:proofErr w:type="spellEnd"/>
      <w:r>
        <w:rPr>
          <w:color w:val="000000"/>
        </w:rPr>
        <w:t xml:space="preserve"> (III) и колебаниям связи S=O, соответственно. Спектры 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-нанесенных шерстяных нитей характеризуются полосами поглощения при 1516-1502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и 1438-1419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которые можно отнести к колебаниям связи С-С и С-N в кольце пиррола, соответственно. Полученные результаты ИК спектроскопии подтверждают покрытие </w:t>
      </w:r>
      <w:proofErr w:type="spellStart"/>
      <w:r>
        <w:rPr>
          <w:color w:val="000000"/>
        </w:rPr>
        <w:t>полипирролом</w:t>
      </w:r>
      <w:proofErr w:type="spellEnd"/>
      <w:r>
        <w:rPr>
          <w:color w:val="000000"/>
        </w:rPr>
        <w:t xml:space="preserve"> нитей в ходе полимеризации.</w:t>
      </w:r>
    </w:p>
    <w:p w:rsidR="0050656A" w:rsidRDefault="00F868D6" w:rsidP="00DE65E1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0115" cy="2705100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-5"/>
        </w:tabs>
        <w:ind w:firstLine="709"/>
        <w:rPr>
          <w:color w:val="000000"/>
        </w:rPr>
      </w:pPr>
    </w:p>
    <w:p w:rsidR="008925E4" w:rsidRDefault="008925E4" w:rsidP="008925E4">
      <w:pPr>
        <w:tabs>
          <w:tab w:val="left" w:pos="-5"/>
        </w:tabs>
        <w:ind w:firstLine="709"/>
        <w:rPr>
          <w:color w:val="000000"/>
        </w:rPr>
      </w:pPr>
      <w:r>
        <w:rPr>
          <w:color w:val="000000"/>
        </w:rPr>
        <w:t xml:space="preserve">а – нейлоновых ; б – </w:t>
      </w:r>
      <w:proofErr w:type="spellStart"/>
      <w:r>
        <w:rPr>
          <w:color w:val="000000"/>
        </w:rPr>
        <w:t>полиэстерных</w:t>
      </w:r>
      <w:proofErr w:type="spellEnd"/>
      <w:r>
        <w:rPr>
          <w:color w:val="000000"/>
        </w:rPr>
        <w:t xml:space="preserve">; в – шерстяных нитей до и после нанесения </w:t>
      </w:r>
      <w:proofErr w:type="spellStart"/>
      <w:r>
        <w:rPr>
          <w:color w:val="000000"/>
        </w:rPr>
        <w:t>полипиррола</w:t>
      </w:r>
      <w:proofErr w:type="spellEnd"/>
    </w:p>
    <w:p w:rsidR="008925E4" w:rsidRDefault="008925E4" w:rsidP="008925E4">
      <w:pPr>
        <w:tabs>
          <w:tab w:val="left" w:pos="-5"/>
        </w:tabs>
        <w:ind w:firstLine="700"/>
        <w:jc w:val="center"/>
        <w:rPr>
          <w:color w:val="000000"/>
        </w:rPr>
      </w:pPr>
      <w:r>
        <w:rPr>
          <w:color w:val="000000"/>
        </w:rPr>
        <w:t>Рисунок 8 – ИК спектры</w:t>
      </w:r>
    </w:p>
    <w:p w:rsidR="00426CAF" w:rsidRDefault="00426CAF" w:rsidP="002600DD">
      <w:pPr>
        <w:tabs>
          <w:tab w:val="left" w:pos="-5"/>
        </w:tabs>
        <w:ind w:firstLine="700"/>
        <w:jc w:val="center"/>
        <w:rPr>
          <w:color w:val="000000"/>
        </w:rPr>
      </w:pPr>
    </w:p>
    <w:p w:rsidR="0050656A" w:rsidRDefault="00F868D6" w:rsidP="00DE65E1">
      <w:pPr>
        <w:tabs>
          <w:tab w:val="left" w:pos="-5"/>
        </w:tabs>
        <w:spacing w:line="360" w:lineRule="auto"/>
        <w:jc w:val="both"/>
        <w:rPr>
          <w:color w:val="000000"/>
        </w:rPr>
      </w:pPr>
      <w:r>
        <w:rPr>
          <w:i/>
          <w:color w:val="000000"/>
          <w:sz w:val="28"/>
          <w:szCs w:val="28"/>
        </w:rPr>
        <w:tab/>
      </w:r>
      <w:r>
        <w:rPr>
          <w:color w:val="000000"/>
        </w:rPr>
        <w:t>Полученные проводящие нити из нейлона, полиэстера и шерсти были покрыты ПДМС для получения трибоэлектрических нитей. Комбинацией данных нитей с шерстяной нитью с медным электродом были получены три трибоэлектрические пары:</w:t>
      </w:r>
    </w:p>
    <w:p w:rsidR="0050656A" w:rsidRDefault="00F868D6" w:rsidP="00DE65E1">
      <w:pPr>
        <w:numPr>
          <w:ilvl w:val="0"/>
          <w:numId w:val="7"/>
        </w:numPr>
        <w:tabs>
          <w:tab w:val="left" w:pos="-5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/нейлон</w:t>
      </w:r>
    </w:p>
    <w:p w:rsidR="0050656A" w:rsidRDefault="00F868D6" w:rsidP="00DE65E1">
      <w:pPr>
        <w:numPr>
          <w:ilvl w:val="0"/>
          <w:numId w:val="7"/>
        </w:numPr>
        <w:tabs>
          <w:tab w:val="left" w:pos="-5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/полиэстер</w:t>
      </w:r>
    </w:p>
    <w:p w:rsidR="0050656A" w:rsidRDefault="00F868D6" w:rsidP="00DE65E1">
      <w:pPr>
        <w:numPr>
          <w:ilvl w:val="0"/>
          <w:numId w:val="7"/>
        </w:numPr>
        <w:tabs>
          <w:tab w:val="left" w:pos="-5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/шерсть</w:t>
      </w:r>
    </w:p>
    <w:p w:rsidR="00F40387" w:rsidRPr="00D90692" w:rsidRDefault="00F868D6" w:rsidP="00DE65E1">
      <w:pPr>
        <w:tabs>
          <w:tab w:val="left" w:pos="-5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>В данном разделе были приготовлены шесть трибоэлектрических пар для последующего вязания с целью изготовления текстильных ТЭНГ.</w:t>
      </w:r>
    </w:p>
    <w:p w:rsidR="0050656A" w:rsidRPr="00DD32A9" w:rsidRDefault="00F868D6" w:rsidP="00DE65E1">
      <w:pPr>
        <w:widowControl w:val="0"/>
        <w:tabs>
          <w:tab w:val="left" w:pos="567"/>
        </w:tabs>
        <w:spacing w:line="360" w:lineRule="auto"/>
        <w:ind w:firstLine="709"/>
        <w:jc w:val="both"/>
        <w:rPr>
          <w:b/>
          <w:color w:val="000000"/>
        </w:rPr>
      </w:pPr>
      <w:r w:rsidRPr="00DD32A9">
        <w:rPr>
          <w:b/>
          <w:color w:val="000000"/>
        </w:rPr>
        <w:t>1.2 Вязание и характеристика ТЭНГ текстиля</w:t>
      </w:r>
    </w:p>
    <w:p w:rsidR="0050656A" w:rsidRDefault="00F868D6" w:rsidP="00DE65E1">
      <w:pPr>
        <w:widowControl w:val="0"/>
        <w:tabs>
          <w:tab w:val="left" w:pos="567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lastRenderedPageBreak/>
        <w:t>ТЭНГ текстили, на основе натуральных и синтетических нитей обмотанных вокруг медной нити, являющейся электродом, были приготовлены методом вязания (раздел 1.1). Были изготовлены ТЭНГ из следующих пар трибоэлектрических материалов (рисунок 9):</w:t>
      </w:r>
    </w:p>
    <w:p w:rsidR="0050656A" w:rsidRDefault="00F868D6" w:rsidP="00DE65E1">
      <w:pPr>
        <w:widowControl w:val="0"/>
        <w:numPr>
          <w:ilvl w:val="0"/>
          <w:numId w:val="8"/>
        </w:numPr>
        <w:tabs>
          <w:tab w:val="left" w:pos="567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шерсть/ПДМС/медная нить</w:t>
      </w:r>
    </w:p>
    <w:p w:rsidR="0050656A" w:rsidRDefault="00F868D6" w:rsidP="00DE65E1">
      <w:pPr>
        <w:widowControl w:val="0"/>
        <w:numPr>
          <w:ilvl w:val="0"/>
          <w:numId w:val="8"/>
        </w:numPr>
        <w:tabs>
          <w:tab w:val="left" w:pos="567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 xml:space="preserve">Шерсть/медная нить + полиэстер/медная нить </w:t>
      </w:r>
    </w:p>
    <w:p w:rsidR="0050656A" w:rsidRDefault="00F868D6" w:rsidP="00DE65E1">
      <w:pPr>
        <w:widowControl w:val="0"/>
        <w:numPr>
          <w:ilvl w:val="0"/>
          <w:numId w:val="8"/>
        </w:numPr>
        <w:tabs>
          <w:tab w:val="left" w:pos="567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 xml:space="preserve">Шерсть/медная нить + ПТФЭ/медная нить </w:t>
      </w:r>
    </w:p>
    <w:p w:rsidR="002600DD" w:rsidRPr="00E82C8A" w:rsidRDefault="00F868D6" w:rsidP="002600DD">
      <w:pPr>
        <w:tabs>
          <w:tab w:val="left" w:pos="-5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На рисунке 9 приведены три текстильных </w:t>
      </w:r>
      <w:proofErr w:type="spellStart"/>
      <w:r>
        <w:rPr>
          <w:color w:val="000000"/>
        </w:rPr>
        <w:t>ТЭНГа</w:t>
      </w:r>
      <w:proofErr w:type="spellEnd"/>
      <w:r>
        <w:rPr>
          <w:color w:val="000000"/>
        </w:rPr>
        <w:t xml:space="preserve"> и график зависимости выходного напряжения данных </w:t>
      </w:r>
      <w:proofErr w:type="spellStart"/>
      <w:r>
        <w:rPr>
          <w:color w:val="000000"/>
        </w:rPr>
        <w:t>наногенераторов</w:t>
      </w:r>
      <w:proofErr w:type="spellEnd"/>
      <w:r>
        <w:rPr>
          <w:color w:val="000000"/>
        </w:rPr>
        <w:t xml:space="preserve"> от времени. Так, ТЭНГ, изготовленный из нити из ПТФЭ в паре с шерстяной нитью, показал выходное среднее амплитудное напряжение равное 8-10 В (рисунок 9г (</w:t>
      </w:r>
      <w:proofErr w:type="spellStart"/>
      <w:r>
        <w:rPr>
          <w:color w:val="000000"/>
        </w:rPr>
        <w:t>ii</w:t>
      </w:r>
      <w:proofErr w:type="spellEnd"/>
      <w:r>
        <w:rPr>
          <w:color w:val="000000"/>
        </w:rPr>
        <w:t>)). Тогда как пара трибоэлектрических материалов полиэстер-шерсть выдала небольшое напряжение составляющее 1 В как видно из рисунка 9г (i), что является худшим результатом по сравнению с другими двумя ТЭНГ в этой группе. ТЭНГ изготовленный из пары шерсть-ПДМС/шерсть демонстрирует выходное напряжение равное 10 В (рисунок 9г (</w:t>
      </w:r>
      <w:proofErr w:type="spellStart"/>
      <w:r>
        <w:rPr>
          <w:color w:val="000000"/>
        </w:rPr>
        <w:t>iii</w:t>
      </w:r>
      <w:proofErr w:type="spellEnd"/>
      <w:r>
        <w:rPr>
          <w:color w:val="000000"/>
        </w:rPr>
        <w:t xml:space="preserve">)). </w:t>
      </w:r>
      <w:r w:rsidR="002600DD">
        <w:rPr>
          <w:color w:val="000000"/>
        </w:rPr>
        <w:t>Зависимости напряжения от времени были получены при помощи цифрового осциллографа (</w:t>
      </w:r>
      <w:proofErr w:type="spellStart"/>
      <w:r w:rsidR="002600DD">
        <w:rPr>
          <w:color w:val="000000"/>
        </w:rPr>
        <w:t>Tektronix</w:t>
      </w:r>
      <w:proofErr w:type="spellEnd"/>
      <w:r w:rsidR="002600DD">
        <w:rPr>
          <w:color w:val="000000"/>
        </w:rPr>
        <w:t xml:space="preserve"> TDS 2002C) (рисунок 10)</w:t>
      </w:r>
      <w:r w:rsidR="00E82C8A" w:rsidRPr="00E82C8A">
        <w:rPr>
          <w:color w:val="000000"/>
        </w:rPr>
        <w:t>.</w:t>
      </w:r>
    </w:p>
    <w:p w:rsidR="002600DD" w:rsidRDefault="002600DD" w:rsidP="00E82C8A">
      <w:pPr>
        <w:tabs>
          <w:tab w:val="left" w:pos="-5"/>
        </w:tabs>
        <w:jc w:val="both"/>
        <w:rPr>
          <w:color w:val="000000"/>
        </w:rPr>
      </w:pPr>
    </w:p>
    <w:p w:rsidR="0050656A" w:rsidRDefault="00F868D6" w:rsidP="00DE65E1">
      <w:pPr>
        <w:tabs>
          <w:tab w:val="left" w:pos="-5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0115" cy="4229100"/>
            <wp:effectExtent l="0" t="0" r="0" b="0"/>
            <wp:docPr id="2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422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804"/>
        </w:tabs>
        <w:ind w:firstLine="700"/>
        <w:jc w:val="both"/>
        <w:rPr>
          <w:color w:val="000000"/>
        </w:rPr>
      </w:pPr>
      <w:r>
        <w:rPr>
          <w:color w:val="000000"/>
        </w:rPr>
        <w:t xml:space="preserve">а – шерсть/медная нить + шерсть/ПДМС/медная нить; б – шерсть/медная нить + полиэстер/медная нить; в – шерсть/медная нить + ПТФЭ/медная нить; г – сравнительный график зависимости напряжения от времени, где </w:t>
      </w:r>
      <w:proofErr w:type="spellStart"/>
      <w:r>
        <w:rPr>
          <w:color w:val="000000"/>
        </w:rPr>
        <w:t>где</w:t>
      </w:r>
      <w:proofErr w:type="spellEnd"/>
      <w:r>
        <w:rPr>
          <w:color w:val="000000"/>
        </w:rPr>
        <w:t xml:space="preserve"> i-б, </w:t>
      </w:r>
      <w:proofErr w:type="spellStart"/>
      <w:r>
        <w:rPr>
          <w:color w:val="000000"/>
        </w:rPr>
        <w:t>ii</w:t>
      </w:r>
      <w:proofErr w:type="spellEnd"/>
      <w:r>
        <w:rPr>
          <w:color w:val="000000"/>
        </w:rPr>
        <w:t xml:space="preserve">-в, </w:t>
      </w:r>
      <w:proofErr w:type="spellStart"/>
      <w:r>
        <w:rPr>
          <w:color w:val="000000"/>
        </w:rPr>
        <w:t>iii</w:t>
      </w:r>
      <w:proofErr w:type="spellEnd"/>
      <w:r>
        <w:rPr>
          <w:color w:val="000000"/>
        </w:rPr>
        <w:t>-а</w:t>
      </w:r>
    </w:p>
    <w:p w:rsidR="008925E4" w:rsidRDefault="008925E4" w:rsidP="008925E4">
      <w:pPr>
        <w:tabs>
          <w:tab w:val="left" w:pos="804"/>
        </w:tabs>
        <w:ind w:firstLine="700"/>
        <w:jc w:val="center"/>
        <w:rPr>
          <w:color w:val="000000"/>
        </w:rPr>
      </w:pPr>
      <w:r>
        <w:rPr>
          <w:color w:val="000000"/>
        </w:rPr>
        <w:t>Рисунок 9 – Текстильные ТЭНГ на основе трибоэлектрических пар:</w:t>
      </w:r>
    </w:p>
    <w:p w:rsidR="0050656A" w:rsidRPr="00E82C8A" w:rsidRDefault="00F868D6" w:rsidP="00DE65E1">
      <w:pPr>
        <w:tabs>
          <w:tab w:val="left" w:pos="-5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lastRenderedPageBreak/>
        <w:drawing>
          <wp:inline distT="114300" distB="114300" distL="114300" distR="114300">
            <wp:extent cx="4068128" cy="2294841"/>
            <wp:effectExtent l="0" t="0" r="0" b="0"/>
            <wp:docPr id="1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8128" cy="22948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F868D6" w:rsidP="00DE65E1">
      <w:pPr>
        <w:tabs>
          <w:tab w:val="left" w:pos="804"/>
        </w:tabs>
        <w:ind w:firstLine="700"/>
        <w:jc w:val="center"/>
        <w:rPr>
          <w:color w:val="000000"/>
        </w:rPr>
      </w:pPr>
      <w:r>
        <w:rPr>
          <w:color w:val="000000"/>
        </w:rPr>
        <w:t xml:space="preserve">Рисунок 10 </w:t>
      </w:r>
      <w:r w:rsidR="00F350A1">
        <w:rPr>
          <w:color w:val="000000"/>
        </w:rPr>
        <w:t>–</w:t>
      </w:r>
      <w:r>
        <w:rPr>
          <w:color w:val="000000"/>
        </w:rPr>
        <w:t xml:space="preserve"> Измерение вырабатываемого напряжения</w:t>
      </w:r>
      <w:r w:rsidR="00DE65E1">
        <w:rPr>
          <w:color w:val="000000"/>
        </w:rPr>
        <w:t xml:space="preserve"> текстильным ТЭНГ осциллографом</w:t>
      </w:r>
    </w:p>
    <w:p w:rsidR="0050656A" w:rsidRDefault="0050656A" w:rsidP="00E82C8A">
      <w:pPr>
        <w:widowControl w:val="0"/>
        <w:tabs>
          <w:tab w:val="left" w:pos="567"/>
        </w:tabs>
        <w:ind w:left="720"/>
        <w:jc w:val="both"/>
        <w:rPr>
          <w:color w:val="000000"/>
        </w:rPr>
      </w:pPr>
    </w:p>
    <w:p w:rsidR="0050656A" w:rsidRDefault="00F868D6" w:rsidP="00DE65E1">
      <w:pPr>
        <w:widowControl w:val="0"/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>Вторая группа ТЭНГ текстилей была изготовлена из нижеприведенных пар трибоэлектрических материалов, где одна композиционная нить в паре состояла из полимер-нанесенного электрода вокруг которого были намотаны, такие нити как нейлон, полиэстер, шерсть (рисунок 11):</w:t>
      </w:r>
    </w:p>
    <w:p w:rsidR="0050656A" w:rsidRDefault="00F868D6" w:rsidP="00DE65E1">
      <w:pPr>
        <w:numPr>
          <w:ilvl w:val="0"/>
          <w:numId w:val="4"/>
        </w:numPr>
        <w:tabs>
          <w:tab w:val="left" w:pos="-5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/нейлон</w:t>
      </w:r>
    </w:p>
    <w:p w:rsidR="0050656A" w:rsidRDefault="00F868D6" w:rsidP="00DE65E1">
      <w:pPr>
        <w:numPr>
          <w:ilvl w:val="0"/>
          <w:numId w:val="4"/>
        </w:numPr>
        <w:tabs>
          <w:tab w:val="left" w:pos="-5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/полиэстер</w:t>
      </w:r>
    </w:p>
    <w:p w:rsidR="0050656A" w:rsidRDefault="00F868D6" w:rsidP="00DE65E1">
      <w:pPr>
        <w:numPr>
          <w:ilvl w:val="0"/>
          <w:numId w:val="4"/>
        </w:numPr>
        <w:tabs>
          <w:tab w:val="left" w:pos="-5"/>
        </w:tabs>
        <w:spacing w:line="360" w:lineRule="auto"/>
        <w:ind w:left="1080"/>
        <w:jc w:val="both"/>
        <w:rPr>
          <w:color w:val="000000"/>
        </w:rPr>
      </w:pPr>
      <w:r>
        <w:rPr>
          <w:color w:val="000000"/>
        </w:rPr>
        <w:t>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/полиэстер</w:t>
      </w: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На рисунке 11 представлены три текстильных </w:t>
      </w:r>
      <w:proofErr w:type="spellStart"/>
      <w:r>
        <w:rPr>
          <w:color w:val="000000"/>
        </w:rPr>
        <w:t>ТЭНГа</w:t>
      </w:r>
      <w:proofErr w:type="spellEnd"/>
      <w:r>
        <w:rPr>
          <w:color w:val="000000"/>
        </w:rPr>
        <w:t xml:space="preserve"> и соответствующие графики зависимости вырабатываемого напряжения от времени. Наиболее высокий показатель выходного напряжения, 25 В, продемонстрировал ТЭНГ изготовленный из пары нитей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/нейлон (рисунок 11г (</w:t>
      </w:r>
      <w:proofErr w:type="spellStart"/>
      <w:r>
        <w:rPr>
          <w:color w:val="000000"/>
        </w:rPr>
        <w:t>iii</w:t>
      </w:r>
      <w:proofErr w:type="spellEnd"/>
      <w:r>
        <w:rPr>
          <w:color w:val="000000"/>
        </w:rPr>
        <w:t xml:space="preserve">)). Выходное </w:t>
      </w:r>
      <w:proofErr w:type="spellStart"/>
      <w:r>
        <w:rPr>
          <w:color w:val="000000"/>
        </w:rPr>
        <w:t>среднеамплитудное</w:t>
      </w:r>
      <w:proofErr w:type="spellEnd"/>
      <w:r>
        <w:rPr>
          <w:color w:val="000000"/>
        </w:rPr>
        <w:t xml:space="preserve"> напряжение ТЭНГ полученного из пары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/полиэстер равно 0,5 В (Рисунок 11г (i)), тогда как выходное напряжение ТЭНГ из пары композитных нитей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/полиэстер составило 3,5 В как видно из рисунка 11г (</w:t>
      </w:r>
      <w:proofErr w:type="spellStart"/>
      <w:r>
        <w:rPr>
          <w:color w:val="000000"/>
        </w:rPr>
        <w:t>ii</w:t>
      </w:r>
      <w:proofErr w:type="spellEnd"/>
      <w:r>
        <w:rPr>
          <w:color w:val="000000"/>
        </w:rPr>
        <w:t xml:space="preserve">). </w:t>
      </w:r>
    </w:p>
    <w:p w:rsidR="0050656A" w:rsidRDefault="0050656A" w:rsidP="00DE65E1">
      <w:pPr>
        <w:tabs>
          <w:tab w:val="left" w:pos="714"/>
        </w:tabs>
        <w:spacing w:line="360" w:lineRule="auto"/>
        <w:jc w:val="center"/>
        <w:rPr>
          <w:color w:val="000000"/>
        </w:rPr>
      </w:pPr>
    </w:p>
    <w:p w:rsidR="0050656A" w:rsidRDefault="00F868D6" w:rsidP="00DE65E1">
      <w:pPr>
        <w:tabs>
          <w:tab w:val="left" w:pos="714"/>
        </w:tabs>
        <w:spacing w:line="360" w:lineRule="auto"/>
        <w:jc w:val="both"/>
        <w:rPr>
          <w:color w:val="000000"/>
        </w:rPr>
      </w:pPr>
      <w:r>
        <w:rPr>
          <w:noProof/>
          <w:color w:val="000000"/>
          <w:lang w:val="en-US" w:eastAsia="en-US"/>
        </w:rPr>
        <w:lastRenderedPageBreak/>
        <w:drawing>
          <wp:inline distT="114300" distB="114300" distL="114300" distR="114300">
            <wp:extent cx="5940115" cy="4267200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-5"/>
        </w:tabs>
        <w:ind w:firstLine="709"/>
        <w:jc w:val="both"/>
        <w:rPr>
          <w:color w:val="000000"/>
        </w:rPr>
      </w:pPr>
      <w:r>
        <w:rPr>
          <w:color w:val="000000"/>
        </w:rPr>
        <w:t>а –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/нейлон; б –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/полиэстер; с –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>/шерсть;</w:t>
      </w:r>
      <w:r w:rsidRPr="005B56FA">
        <w:rPr>
          <w:color w:val="000000"/>
        </w:rPr>
        <w:t xml:space="preserve"> </w:t>
      </w:r>
      <w:r>
        <w:rPr>
          <w:color w:val="000000"/>
        </w:rPr>
        <w:t xml:space="preserve">г – сравнительный график зависимости напряжения от времени, где i-б, </w:t>
      </w:r>
      <w:proofErr w:type="spellStart"/>
      <w:r>
        <w:rPr>
          <w:color w:val="000000"/>
        </w:rPr>
        <w:t>ii</w:t>
      </w:r>
      <w:proofErr w:type="spellEnd"/>
      <w:r>
        <w:rPr>
          <w:color w:val="000000"/>
        </w:rPr>
        <w:t xml:space="preserve">-в, </w:t>
      </w:r>
      <w:proofErr w:type="spellStart"/>
      <w:r>
        <w:rPr>
          <w:color w:val="000000"/>
        </w:rPr>
        <w:t>iii</w:t>
      </w:r>
      <w:proofErr w:type="spellEnd"/>
      <w:r>
        <w:rPr>
          <w:color w:val="000000"/>
        </w:rPr>
        <w:t>-а</w:t>
      </w:r>
    </w:p>
    <w:p w:rsidR="008925E4" w:rsidRDefault="008925E4" w:rsidP="008925E4">
      <w:pPr>
        <w:tabs>
          <w:tab w:val="left" w:pos="-5"/>
        </w:tabs>
        <w:jc w:val="center"/>
        <w:rPr>
          <w:color w:val="000000"/>
        </w:rPr>
      </w:pPr>
      <w:r>
        <w:rPr>
          <w:color w:val="000000"/>
        </w:rPr>
        <w:t>Рисунок 11 – Текстильные ТЭНГ на основе трибоэлектрических пар</w:t>
      </w:r>
    </w:p>
    <w:p w:rsidR="00F868D6" w:rsidRDefault="00F868D6" w:rsidP="00E82C8A">
      <w:pPr>
        <w:tabs>
          <w:tab w:val="left" w:pos="-5"/>
        </w:tabs>
        <w:jc w:val="center"/>
        <w:rPr>
          <w:color w:val="000000"/>
        </w:rPr>
      </w:pPr>
    </w:p>
    <w:p w:rsidR="0050656A" w:rsidRDefault="00F868D6" w:rsidP="00DE65E1">
      <w:pPr>
        <w:tabs>
          <w:tab w:val="left" w:pos="-5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Из показателей выходного напряжения изготовленных </w:t>
      </w:r>
      <w:proofErr w:type="spellStart"/>
      <w:r>
        <w:rPr>
          <w:color w:val="000000"/>
        </w:rPr>
        <w:t>ТЭНГов</w:t>
      </w:r>
      <w:proofErr w:type="spellEnd"/>
      <w:r>
        <w:rPr>
          <w:color w:val="000000"/>
        </w:rPr>
        <w:t xml:space="preserve"> видно, что наиболее хорошие результаты были продемонстрированы ТЭНГ полученным из пары нитей: шерсть/медная нить + шерсть/ПДМС/медная нить, также многообещающие результаты показал ТЭНГ на основе шерсть/медная нить + ПДМС-</w:t>
      </w:r>
      <w:proofErr w:type="spellStart"/>
      <w:r>
        <w:rPr>
          <w:color w:val="000000"/>
        </w:rPr>
        <w:t>полипиррол</w:t>
      </w:r>
      <w:proofErr w:type="spellEnd"/>
      <w:r>
        <w:rPr>
          <w:color w:val="000000"/>
        </w:rPr>
        <w:t xml:space="preserve">/нейлон композитных нитей, что говорит о перспективности использования проводящих полимеров для разработки устройств сбора энергии.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both"/>
        <w:rPr>
          <w:i/>
          <w:color w:val="000000"/>
        </w:rPr>
      </w:pPr>
      <w:r>
        <w:rPr>
          <w:i/>
          <w:color w:val="000000"/>
        </w:rPr>
        <w:t xml:space="preserve">Моделирование для получения схем повышения заряда.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both"/>
        <w:rPr>
          <w:color w:val="000000"/>
        </w:rPr>
      </w:pPr>
      <w:r>
        <w:rPr>
          <w:color w:val="000000"/>
        </w:rPr>
        <w:t xml:space="preserve">Получаемый из текстильного ТЭНГ переменный ток позволяет зарядить ЛИА, при условии что он будет преобразован в постоянный контролируемый ток. Для этого в схему зарядки аккумулятора необходимо включить электрическое устройство, предназначенное для преобразования переменного тока в постоянный - диодный мост.  Для достижения этой цели по изученным статьям была определена наиболее оптимальная схема для измерения выходных данных текстильного </w:t>
      </w:r>
      <w:proofErr w:type="spellStart"/>
      <w:r>
        <w:rPr>
          <w:color w:val="000000"/>
        </w:rPr>
        <w:t>ТЭНГа</w:t>
      </w:r>
      <w:proofErr w:type="spellEnd"/>
      <w:r>
        <w:rPr>
          <w:color w:val="000000"/>
        </w:rPr>
        <w:t xml:space="preserve"> и смоделирована на программном обеспечении </w:t>
      </w:r>
      <w:proofErr w:type="spellStart"/>
      <w:r>
        <w:rPr>
          <w:color w:val="000000"/>
        </w:rPr>
        <w:t>Multisim</w:t>
      </w:r>
      <w:proofErr w:type="spellEnd"/>
      <w:r>
        <w:rPr>
          <w:color w:val="000000"/>
        </w:rPr>
        <w:t xml:space="preserve"> от </w:t>
      </w:r>
      <w:proofErr w:type="spellStart"/>
      <w:r>
        <w:rPr>
          <w:color w:val="000000"/>
        </w:rPr>
        <w:t>National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Instruments</w:t>
      </w:r>
      <w:proofErr w:type="spellEnd"/>
      <w:r>
        <w:rPr>
          <w:color w:val="000000"/>
        </w:rPr>
        <w:t xml:space="preserve">, что помогло в разы сократить расходы элементов и времени. Смоделированная схема показана на рисунке 12. 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center"/>
        <w:rPr>
          <w:color w:val="000000"/>
        </w:rPr>
      </w:pPr>
      <w:r>
        <w:rPr>
          <w:color w:val="000000"/>
        </w:rPr>
        <w:lastRenderedPageBreak/>
        <w:t xml:space="preserve">Рисунок 12 </w:t>
      </w:r>
      <w:r w:rsidR="00A86716">
        <w:rPr>
          <w:color w:val="000000"/>
        </w:rPr>
        <w:t>–</w:t>
      </w:r>
      <w:r>
        <w:rPr>
          <w:color w:val="000000"/>
        </w:rPr>
        <w:t xml:space="preserve"> Интерф</w:t>
      </w:r>
      <w:r w:rsidR="00A86716">
        <w:rPr>
          <w:color w:val="000000"/>
        </w:rPr>
        <w:t>ейсная схема текстильного ТЭНГ</w:t>
      </w:r>
      <w:r>
        <w:rPr>
          <w:noProof/>
          <w:lang w:val="en-US" w:eastAsia="en-US"/>
        </w:rPr>
        <w:drawing>
          <wp:anchor distT="114300" distB="114300" distL="114300" distR="114300" simplePos="0" relativeHeight="251658240" behindDoc="0" locked="0" layoutInCell="1" allowOverlap="1">
            <wp:simplePos x="0" y="0"/>
            <wp:positionH relativeFrom="column">
              <wp:posOffset>960283</wp:posOffset>
            </wp:positionH>
            <wp:positionV relativeFrom="paragraph">
              <wp:posOffset>161925</wp:posOffset>
            </wp:positionV>
            <wp:extent cx="4167802" cy="1787612"/>
            <wp:effectExtent l="0" t="0" r="0" b="0"/>
            <wp:wrapTopAndBottom distT="114300" distB="114300"/>
            <wp:docPr id="1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7802" cy="17876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86716" w:rsidRDefault="00A86716" w:rsidP="00E82C8A">
      <w:pPr>
        <w:tabs>
          <w:tab w:val="left" w:pos="804"/>
        </w:tabs>
        <w:ind w:firstLine="700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both"/>
        <w:rPr>
          <w:color w:val="000000"/>
        </w:rPr>
      </w:pPr>
      <w:r>
        <w:rPr>
          <w:color w:val="000000"/>
        </w:rPr>
        <w:t xml:space="preserve">На рисунке 12 изображена интерфейсная схема текстильного ТЭНГ, в котором </w:t>
      </w:r>
      <w:proofErr w:type="spellStart"/>
      <w:r>
        <w:rPr>
          <w:color w:val="000000"/>
        </w:rPr>
        <w:t>наногенератор</w:t>
      </w:r>
      <w:proofErr w:type="spellEnd"/>
      <w:r>
        <w:rPr>
          <w:color w:val="000000"/>
        </w:rPr>
        <w:t xml:space="preserve"> вырабатывает теоретическое напряжение, равное 250 В, установленный из литературных обзоров. Положительный вывод </w:t>
      </w:r>
      <w:proofErr w:type="spellStart"/>
      <w:r>
        <w:rPr>
          <w:color w:val="000000"/>
        </w:rPr>
        <w:t>ТЭНГа</w:t>
      </w:r>
      <w:proofErr w:type="spellEnd"/>
      <w:r>
        <w:rPr>
          <w:color w:val="000000"/>
        </w:rPr>
        <w:t xml:space="preserve"> подключен к элементам резистор R1, резистор R2 и конденсатор C1, которые представляют схему </w:t>
      </w:r>
      <w:proofErr w:type="spellStart"/>
      <w:r>
        <w:rPr>
          <w:color w:val="000000"/>
        </w:rPr>
        <w:t>бестрансформаторного</w:t>
      </w:r>
      <w:proofErr w:type="spellEnd"/>
      <w:r>
        <w:rPr>
          <w:color w:val="000000"/>
        </w:rPr>
        <w:t xml:space="preserve"> понижения переменного напряжения.  Далее идет диодный мост, как упоминалось выше, для преобразования переменного тока в постоянный ток. Отрицательный вывод </w:t>
      </w:r>
      <w:proofErr w:type="spellStart"/>
      <w:r>
        <w:rPr>
          <w:color w:val="000000"/>
        </w:rPr>
        <w:t>ТЭНГа</w:t>
      </w:r>
      <w:proofErr w:type="spellEnd"/>
      <w:r>
        <w:rPr>
          <w:color w:val="000000"/>
        </w:rPr>
        <w:t xml:space="preserve"> подключен к диодному мосту и заземлен.</w:t>
      </w:r>
      <w:r w:rsidR="005B56FA">
        <w:rPr>
          <w:color w:val="000000"/>
        </w:rPr>
        <w:t xml:space="preserve"> Следующими элементами являются конденсатор C2 и</w:t>
      </w:r>
      <w:r>
        <w:rPr>
          <w:color w:val="000000"/>
        </w:rPr>
        <w:t xml:space="preserve"> резистор R3, которые служат для нивелирования пульсов постоянного тока и нагрузкой, соответственно.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both"/>
        <w:rPr>
          <w:color w:val="000000"/>
        </w:rPr>
      </w:pPr>
      <w:r>
        <w:rPr>
          <w:color w:val="000000"/>
        </w:rPr>
        <w:t>На рисунке 13 приведена зависимость напряжения от времени, благодаря которой мы можем определить время заряда батареи. Как видно из графика, схема вырабатывает достаточное напряжение для заряда ЛИА посл</w:t>
      </w:r>
      <w:r w:rsidR="005B56FA">
        <w:rPr>
          <w:color w:val="000000"/>
        </w:rPr>
        <w:t>е 60 секунд от начала процесса.</w:t>
      </w:r>
      <w:r>
        <w:rPr>
          <w:color w:val="000000"/>
        </w:rPr>
        <w:t xml:space="preserve"> В дальнейшей работе планируется экспериментальное приготовление схемы блока управления питанием для соединения текстильного ТЭНГ с гибким ЛИА.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3420428" cy="2620276"/>
            <wp:effectExtent l="0" t="0" r="0" b="0"/>
            <wp:docPr id="2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0428" cy="2620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F868D6" w:rsidP="00DE65E1">
      <w:pPr>
        <w:tabs>
          <w:tab w:val="left" w:pos="804"/>
        </w:tabs>
        <w:spacing w:line="360" w:lineRule="auto"/>
        <w:ind w:firstLine="700"/>
        <w:jc w:val="center"/>
        <w:rPr>
          <w:color w:val="000000"/>
        </w:rPr>
      </w:pPr>
      <w:r>
        <w:rPr>
          <w:color w:val="000000"/>
        </w:rPr>
        <w:t xml:space="preserve">Рисунок 13 </w:t>
      </w:r>
      <w:r w:rsidR="008722C7">
        <w:rPr>
          <w:color w:val="000000"/>
        </w:rPr>
        <w:t>–</w:t>
      </w:r>
      <w:r>
        <w:rPr>
          <w:color w:val="000000"/>
        </w:rPr>
        <w:t xml:space="preserve"> Зависимость напряжения от времени </w:t>
      </w:r>
    </w:p>
    <w:p w:rsidR="0050656A" w:rsidRPr="008722C7" w:rsidRDefault="008722C7" w:rsidP="00E82C8A">
      <w:pPr>
        <w:spacing w:line="360" w:lineRule="auto"/>
        <w:rPr>
          <w:b/>
          <w:color w:val="000000"/>
        </w:rPr>
      </w:pPr>
      <w:r>
        <w:rPr>
          <w:b/>
          <w:color w:val="000000"/>
        </w:rPr>
        <w:br w:type="page"/>
      </w:r>
      <w:r w:rsidR="00F868D6">
        <w:rPr>
          <w:b/>
          <w:color w:val="000000"/>
        </w:rPr>
        <w:lastRenderedPageBreak/>
        <w:tab/>
      </w:r>
      <w:r w:rsidR="00F868D6" w:rsidRPr="008722C7">
        <w:rPr>
          <w:b/>
          <w:color w:val="000000"/>
        </w:rPr>
        <w:t>2 Синтез и изготовление гибкого литий-ионного аккумулятора с длительным сроком службы</w:t>
      </w:r>
    </w:p>
    <w:p w:rsidR="0050656A" w:rsidRDefault="00F868D6" w:rsidP="008651E8">
      <w:pPr>
        <w:widowControl w:val="0"/>
        <w:tabs>
          <w:tab w:val="left" w:pos="-5"/>
          <w:tab w:val="left" w:pos="709"/>
        </w:tabs>
        <w:spacing w:line="360" w:lineRule="auto"/>
        <w:jc w:val="both"/>
        <w:rPr>
          <w:color w:val="000000"/>
        </w:rPr>
      </w:pPr>
      <w:r>
        <w:rPr>
          <w:b/>
          <w:color w:val="000000"/>
        </w:rPr>
        <w:tab/>
      </w:r>
      <w:r>
        <w:rPr>
          <w:color w:val="000000"/>
        </w:rPr>
        <w:t>Исходные катодные материалы на основе серы (S) и сульфида меди (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>) были разработаны с целью синтеза и приготовления гибких ЛИА с длительным сроком службы. Полученные гибкие катодные материалы были исследованы физическими методами как рентгенофазовый анализ для определения фаз, сканирующая электронная микроскопия для исследования морфологии. Также были собраны полу-ячейки аккумуляторов типа CR2032 и испытаны с целью оценки электрохимических характеристик синтезированных электродов.</w:t>
      </w:r>
    </w:p>
    <w:p w:rsidR="0050656A" w:rsidRPr="008722C7" w:rsidRDefault="00F868D6" w:rsidP="008651E8">
      <w:pPr>
        <w:widowControl w:val="0"/>
        <w:tabs>
          <w:tab w:val="left" w:pos="567"/>
          <w:tab w:val="left" w:pos="709"/>
        </w:tabs>
        <w:spacing w:line="360" w:lineRule="auto"/>
        <w:jc w:val="both"/>
        <w:rPr>
          <w:b/>
          <w:color w:val="000000"/>
        </w:rPr>
      </w:pPr>
      <w:r>
        <w:rPr>
          <w:b/>
          <w:color w:val="000000"/>
        </w:rPr>
        <w:tab/>
      </w:r>
      <w:r w:rsidR="008651E8" w:rsidRPr="008651E8">
        <w:rPr>
          <w:b/>
          <w:color w:val="000000"/>
        </w:rPr>
        <w:t xml:space="preserve">  </w:t>
      </w:r>
      <w:r w:rsidRPr="008722C7">
        <w:rPr>
          <w:b/>
        </w:rPr>
        <w:t xml:space="preserve">2.1 </w:t>
      </w:r>
      <w:r w:rsidRPr="008722C7">
        <w:rPr>
          <w:b/>
          <w:color w:val="000000"/>
        </w:rPr>
        <w:t>Получение гибкого S/</w:t>
      </w:r>
      <w:proofErr w:type="spellStart"/>
      <w:r w:rsidRPr="008722C7">
        <w:rPr>
          <w:b/>
          <w:color w:val="000000"/>
        </w:rPr>
        <w:t>CuS</w:t>
      </w:r>
      <w:proofErr w:type="spellEnd"/>
      <w:r w:rsidRPr="008722C7">
        <w:rPr>
          <w:b/>
          <w:color w:val="000000"/>
        </w:rPr>
        <w:t xml:space="preserve"> катодного материала</w:t>
      </w:r>
    </w:p>
    <w:p w:rsidR="0050656A" w:rsidRDefault="00F868D6" w:rsidP="00DE65E1">
      <w:pPr>
        <w:widowControl w:val="0"/>
        <w:tabs>
          <w:tab w:val="left" w:pos="569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Получение гибких серных катодных материалов представляет собой ряд экспериментальных работ в виде синтеза трехмерного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с последующим внедрением серы, а также разработка отдельно стоящего катода на основе ПТФЭ и серы.</w:t>
      </w:r>
    </w:p>
    <w:p w:rsidR="0050656A" w:rsidRDefault="00F868D6" w:rsidP="00DE65E1">
      <w:pPr>
        <w:widowControl w:val="0"/>
        <w:tabs>
          <w:tab w:val="left" w:pos="569"/>
        </w:tabs>
        <w:spacing w:line="360" w:lineRule="auto"/>
        <w:ind w:firstLine="709"/>
        <w:jc w:val="both"/>
        <w:rPr>
          <w:color w:val="000000"/>
        </w:rPr>
      </w:pPr>
      <w:r>
        <w:rPr>
          <w:i/>
          <w:color w:val="000000"/>
        </w:rPr>
        <w:t xml:space="preserve">Синтез гибкого </w:t>
      </w:r>
      <w:proofErr w:type="spellStart"/>
      <w:r>
        <w:rPr>
          <w:i/>
          <w:color w:val="000000"/>
        </w:rPr>
        <w:t>графена</w:t>
      </w:r>
      <w:proofErr w:type="spellEnd"/>
      <w:r>
        <w:rPr>
          <w:i/>
          <w:color w:val="000000"/>
        </w:rPr>
        <w:t xml:space="preserve"> с помощью химического осаждения из паровой фазы (CVD).</w:t>
      </w:r>
      <w:r>
        <w:rPr>
          <w:b/>
          <w:color w:val="000000"/>
        </w:rPr>
        <w:t xml:space="preserve"> </w:t>
      </w:r>
      <w:r>
        <w:rPr>
          <w:color w:val="000000"/>
        </w:rPr>
        <w:t xml:space="preserve">Одним из многообещающих методов синтеза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является процесс CVD, который широко используется в лаборатории и промышленности, для производства высококачественного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>. Данный метод считается привлекательным с точки зрения стоимости и цены.</w:t>
      </w:r>
    </w:p>
    <w:p w:rsidR="0050656A" w:rsidRDefault="00F868D6" w:rsidP="00DE65E1">
      <w:pPr>
        <w:tabs>
          <w:tab w:val="left" w:pos="804"/>
        </w:tabs>
        <w:spacing w:line="360" w:lineRule="auto"/>
        <w:ind w:right="-80" w:firstLine="720"/>
        <w:jc w:val="both"/>
        <w:rPr>
          <w:color w:val="000000"/>
        </w:rPr>
      </w:pPr>
      <w:r>
        <w:rPr>
          <w:color w:val="000000"/>
        </w:rPr>
        <w:t xml:space="preserve">Процесс синтеза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методом CVD состоит из нескольких стадий. Первоначально, кварцевую трубку продувают аргоном при скорости потока 300 литров в минуту (</w:t>
      </w:r>
      <w:proofErr w:type="spellStart"/>
      <w:r>
        <w:rPr>
          <w:color w:val="000000"/>
        </w:rPr>
        <w:t>sccm</w:t>
      </w:r>
      <w:proofErr w:type="spellEnd"/>
      <w:r>
        <w:rPr>
          <w:color w:val="000000"/>
        </w:rPr>
        <w:t xml:space="preserve">) при атмосферном давлении в течение 10 мин для удаления воздуха и влаги. Затем газовые смеси </w:t>
      </w:r>
      <w:proofErr w:type="spellStart"/>
      <w:r>
        <w:rPr>
          <w:color w:val="000000"/>
        </w:rPr>
        <w:t>аргон+водород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/H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) и </w:t>
      </w:r>
      <w:proofErr w:type="spellStart"/>
      <w:r>
        <w:rPr>
          <w:color w:val="000000"/>
        </w:rPr>
        <w:t>метан+водород</w:t>
      </w:r>
      <w:proofErr w:type="spellEnd"/>
      <w:r>
        <w:rPr>
          <w:color w:val="000000"/>
        </w:rPr>
        <w:t xml:space="preserve"> (CH</w:t>
      </w:r>
      <w:r>
        <w:rPr>
          <w:color w:val="000000"/>
          <w:vertAlign w:val="subscript"/>
        </w:rPr>
        <w:t>4</w:t>
      </w:r>
      <w:r>
        <w:rPr>
          <w:color w:val="000000"/>
        </w:rPr>
        <w:t>/H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), являющаяся источником углерода, подаются в трубку, с целью синтеза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посредством осаждения атомов углерода на подложке.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В нашей работе подложкой и каркасом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является никелевая (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) пена. Поликристаллические пленки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сначала отжигали в атмосфере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 xml:space="preserve"> и 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 при 1050 °C для увеличения размера зерна, а затем подвергали воздействию газовой смеси H</w:t>
      </w:r>
      <w:r>
        <w:rPr>
          <w:color w:val="000000"/>
          <w:vertAlign w:val="subscript"/>
        </w:rPr>
        <w:t>2</w:t>
      </w:r>
      <w:r>
        <w:rPr>
          <w:color w:val="000000"/>
        </w:rPr>
        <w:t>/CH</w:t>
      </w:r>
      <w:r>
        <w:rPr>
          <w:color w:val="000000"/>
          <w:vertAlign w:val="subscript"/>
        </w:rPr>
        <w:t>4</w:t>
      </w:r>
      <w:r>
        <w:rPr>
          <w:color w:val="000000"/>
        </w:rPr>
        <w:t xml:space="preserve">. На этом этапе углеводород разлагался, и атомы углерода растворялись в пленке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пены с последующим образованием твердого раствора. Затем образцы охлаждались в смеси газообразного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/H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. В процессе охлаждения атомы углерода </w:t>
      </w:r>
      <w:proofErr w:type="spellStart"/>
      <w:r>
        <w:rPr>
          <w:color w:val="000000"/>
        </w:rPr>
        <w:t>диффузировали</w:t>
      </w:r>
      <w:proofErr w:type="spellEnd"/>
      <w:r>
        <w:rPr>
          <w:color w:val="000000"/>
        </w:rPr>
        <w:t xml:space="preserve"> из твердого раствора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-углерод и осаждались на поверхности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пены в виде </w:t>
      </w:r>
      <w:proofErr w:type="spellStart"/>
      <w:r>
        <w:rPr>
          <w:color w:val="000000"/>
        </w:rPr>
        <w:t>графеновых</w:t>
      </w:r>
      <w:proofErr w:type="spellEnd"/>
      <w:r>
        <w:rPr>
          <w:color w:val="000000"/>
        </w:rPr>
        <w:t xml:space="preserve"> пленок.</w:t>
      </w:r>
    </w:p>
    <w:p w:rsidR="0050656A" w:rsidRDefault="00F868D6" w:rsidP="00DE65E1">
      <w:pPr>
        <w:tabs>
          <w:tab w:val="left" w:pos="804"/>
        </w:tabs>
        <w:spacing w:line="360" w:lineRule="auto"/>
        <w:ind w:right="-80" w:firstLine="720"/>
        <w:jc w:val="both"/>
        <w:rPr>
          <w:color w:val="000000"/>
        </w:rPr>
      </w:pPr>
      <w:r>
        <w:rPr>
          <w:color w:val="000000"/>
        </w:rPr>
        <w:t xml:space="preserve">В процессе изготовления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методом CVD, даже небольшое изменение любого из параметров может иметь большое влияние на качество и конечные свойства </w:t>
      </w:r>
      <w:proofErr w:type="spellStart"/>
      <w:r>
        <w:rPr>
          <w:color w:val="000000"/>
        </w:rPr>
        <w:t>графеновых</w:t>
      </w:r>
      <w:proofErr w:type="spellEnd"/>
      <w:r>
        <w:rPr>
          <w:color w:val="000000"/>
        </w:rPr>
        <w:t xml:space="preserve"> продуктов. Эти экспериментальные параметры в основном включают время роста, скорость </w:t>
      </w:r>
      <w:r>
        <w:rPr>
          <w:color w:val="000000"/>
        </w:rPr>
        <w:lastRenderedPageBreak/>
        <w:t xml:space="preserve">потока и соотношение </w:t>
      </w:r>
      <w:proofErr w:type="spellStart"/>
      <w:r>
        <w:rPr>
          <w:color w:val="000000"/>
        </w:rPr>
        <w:t>прекурсоров</w:t>
      </w:r>
      <w:proofErr w:type="spellEnd"/>
      <w:r>
        <w:rPr>
          <w:color w:val="000000"/>
        </w:rPr>
        <w:t xml:space="preserve"> и вспомогательных газов, границы зерен подложки, концентрацию углерода, скорость охлаждения, давление.</w:t>
      </w:r>
    </w:p>
    <w:p w:rsidR="0050656A" w:rsidRDefault="00F868D6" w:rsidP="00DE65E1">
      <w:pPr>
        <w:tabs>
          <w:tab w:val="left" w:pos="804"/>
        </w:tabs>
        <w:spacing w:line="360" w:lineRule="auto"/>
        <w:ind w:right="-80" w:firstLine="720"/>
        <w:jc w:val="both"/>
        <w:rPr>
          <w:color w:val="000000"/>
        </w:rPr>
      </w:pPr>
      <w:r>
        <w:rPr>
          <w:color w:val="000000"/>
        </w:rPr>
        <w:t>Для того чтобы покрыть поликристаллические пленки никеля углеродом методом CVD, был проведен обзор литературы. На основании этого были выбраны следующие оптимальные условия для синтеза:</w:t>
      </w:r>
    </w:p>
    <w:p w:rsidR="0050656A" w:rsidRDefault="00F868D6" w:rsidP="00DE65E1">
      <w:pPr>
        <w:numPr>
          <w:ilvl w:val="0"/>
          <w:numId w:val="1"/>
        </w:num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color w:val="000000"/>
        </w:rPr>
        <w:t>Предварительный нагрев: от 20 до 200 °C за 18 мин в атмосфере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;</w:t>
      </w:r>
    </w:p>
    <w:p w:rsidR="0050656A" w:rsidRDefault="00F868D6" w:rsidP="00DE65E1">
      <w:pPr>
        <w:numPr>
          <w:ilvl w:val="0"/>
          <w:numId w:val="1"/>
        </w:num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color w:val="000000"/>
        </w:rPr>
        <w:t>Предварительный нагрев: 200 °C в течение 1 ч в атмосфере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;</w:t>
      </w:r>
    </w:p>
    <w:p w:rsidR="0050656A" w:rsidRDefault="00F868D6" w:rsidP="00DE65E1">
      <w:pPr>
        <w:numPr>
          <w:ilvl w:val="0"/>
          <w:numId w:val="1"/>
        </w:num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color w:val="000000"/>
        </w:rPr>
        <w:t>Предварительный нагрев: от 200 до 1020 °C за 1 ч 22 мин в атмосфере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;</w:t>
      </w:r>
    </w:p>
    <w:p w:rsidR="0050656A" w:rsidRDefault="00F868D6" w:rsidP="00DE65E1">
      <w:pPr>
        <w:numPr>
          <w:ilvl w:val="0"/>
          <w:numId w:val="1"/>
        </w:num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color w:val="000000"/>
        </w:rPr>
        <w:t>Нагрев поверхности пены никеля: 1020 °C за 1 ч в атмосфере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;</w:t>
      </w:r>
    </w:p>
    <w:p w:rsidR="0050656A" w:rsidRDefault="00F868D6" w:rsidP="00DE65E1">
      <w:pPr>
        <w:numPr>
          <w:ilvl w:val="0"/>
          <w:numId w:val="1"/>
        </w:num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color w:val="000000"/>
        </w:rPr>
        <w:t>Покрытие углеродом: 1020 °C в течение 1 ч, 1.5 ч и 2.5 ч, в атмосфере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 xml:space="preserve"> и CH</w:t>
      </w:r>
      <w:r>
        <w:rPr>
          <w:color w:val="000000"/>
          <w:vertAlign w:val="subscript"/>
        </w:rPr>
        <w:t>4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;</w:t>
      </w:r>
    </w:p>
    <w:p w:rsidR="0050656A" w:rsidRDefault="00F868D6" w:rsidP="00DE65E1">
      <w:pPr>
        <w:numPr>
          <w:ilvl w:val="0"/>
          <w:numId w:val="1"/>
        </w:num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color w:val="000000"/>
        </w:rPr>
        <w:t>Охлаждение: с 1020 до 20 °C за 1ч 40 мин, в атмосфере H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+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>;</w:t>
      </w: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color w:val="000000"/>
        </w:rPr>
      </w:pPr>
      <w:r>
        <w:rPr>
          <w:color w:val="000000"/>
        </w:rPr>
        <w:t xml:space="preserve">Было исследовано влияние продолжительности нанесения углерода, так были выбраны временные отрезки в 1 час, 1.5 часа и 2.5 часа с целью установления подходящей толщины и морфологии полученной пены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. СЭМ была применена для изучения морфологии пены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с углеродным покрытием, как показано на рисунке 14. </w:t>
      </w:r>
    </w:p>
    <w:p w:rsidR="0050656A" w:rsidRDefault="0050656A" w:rsidP="00DE65E1">
      <w:p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0115" cy="1854200"/>
            <wp:effectExtent l="0" t="0" r="0" b="0"/>
            <wp:docPr id="3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185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</w:p>
    <w:p w:rsidR="00E82C8A" w:rsidRDefault="00E82C8A" w:rsidP="00E82C8A">
      <w:pPr>
        <w:tabs>
          <w:tab w:val="left" w:pos="804"/>
        </w:tabs>
        <w:ind w:firstLine="709"/>
        <w:jc w:val="center"/>
        <w:rPr>
          <w:color w:val="000000"/>
        </w:rPr>
      </w:pPr>
    </w:p>
    <w:p w:rsidR="008925E4" w:rsidRDefault="008925E4" w:rsidP="008925E4">
      <w:pPr>
        <w:tabs>
          <w:tab w:val="left" w:pos="804"/>
        </w:tabs>
        <w:spacing w:line="276" w:lineRule="auto"/>
        <w:ind w:firstLine="709"/>
        <w:jc w:val="both"/>
        <w:rPr>
          <w:color w:val="000000"/>
        </w:rPr>
      </w:pPr>
      <w:r>
        <w:rPr>
          <w:color w:val="000000"/>
        </w:rPr>
        <w:t>а – 1 ч; б – 1.5 ч;</w:t>
      </w:r>
      <w:r w:rsidRPr="005B56FA">
        <w:rPr>
          <w:color w:val="000000"/>
        </w:rPr>
        <w:t xml:space="preserve"> </w:t>
      </w:r>
      <w:r>
        <w:rPr>
          <w:color w:val="000000"/>
        </w:rPr>
        <w:t>б – 2.5 ч</w:t>
      </w:r>
    </w:p>
    <w:p w:rsidR="00AE2761" w:rsidRDefault="008925E4" w:rsidP="008925E4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 xml:space="preserve">Рисунок 14 – СЭМ изображения пены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>, покрытой углеродом при различном времени</w:t>
      </w:r>
    </w:p>
    <w:p w:rsidR="008925E4" w:rsidRDefault="008925E4" w:rsidP="008925E4">
      <w:pPr>
        <w:tabs>
          <w:tab w:val="left" w:pos="804"/>
        </w:tabs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Из рисунка 14 видно, что гладкое углеродное покрытие было получено путем осаждения углерода в течение 1 ч. Вследствие этого осаждение углерода в течение 1 ч было выбрано как оптимальное время для получения гладкого углеродного покрытия на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пене. Наличие осажденного углерода в полученном продукте было определено с помощью РФА. Как видно из </w:t>
      </w:r>
      <w:proofErr w:type="spellStart"/>
      <w:r>
        <w:rPr>
          <w:color w:val="000000"/>
        </w:rPr>
        <w:t>дифрактограммы</w:t>
      </w:r>
      <w:proofErr w:type="spellEnd"/>
      <w:r>
        <w:rPr>
          <w:color w:val="000000"/>
        </w:rPr>
        <w:t xml:space="preserve"> (рисунок 15) рефлекс при 26° относится к </w:t>
      </w:r>
      <w:proofErr w:type="spellStart"/>
      <w:r>
        <w:rPr>
          <w:color w:val="000000"/>
        </w:rPr>
        <w:t>графену</w:t>
      </w:r>
      <w:proofErr w:type="spellEnd"/>
      <w:r>
        <w:rPr>
          <w:color w:val="000000"/>
        </w:rPr>
        <w:t>.</w:t>
      </w:r>
    </w:p>
    <w:p w:rsidR="0050656A" w:rsidRDefault="00F868D6" w:rsidP="00DE65E1">
      <w:pPr>
        <w:tabs>
          <w:tab w:val="left" w:pos="804"/>
        </w:tabs>
        <w:spacing w:line="360" w:lineRule="auto"/>
        <w:ind w:right="-80"/>
        <w:jc w:val="center"/>
        <w:rPr>
          <w:color w:val="000000"/>
        </w:rPr>
      </w:pPr>
      <w:r>
        <w:rPr>
          <w:color w:val="000000"/>
        </w:rPr>
        <w:lastRenderedPageBreak/>
        <w:t xml:space="preserve">Рисунок 15 </w:t>
      </w:r>
      <w:r w:rsidR="008722C7">
        <w:rPr>
          <w:color w:val="000000"/>
        </w:rPr>
        <w:t>–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Дифрактограмма</w:t>
      </w:r>
      <w:proofErr w:type="spellEnd"/>
      <w:r>
        <w:rPr>
          <w:color w:val="000000"/>
        </w:rPr>
        <w:t xml:space="preserve"> пены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>, п</w:t>
      </w:r>
      <w:r w:rsidR="001167D2">
        <w:rPr>
          <w:color w:val="000000"/>
        </w:rPr>
        <w:t>окрытой углеродом в течении 1 ч</w:t>
      </w:r>
      <w:r>
        <w:rPr>
          <w:noProof/>
          <w:lang w:val="en-US" w:eastAsia="en-US"/>
        </w:rPr>
        <w:drawing>
          <wp:anchor distT="114300" distB="114300" distL="114300" distR="114300" simplePos="0" relativeHeight="251659264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285750</wp:posOffset>
            </wp:positionV>
            <wp:extent cx="3921983" cy="3278778"/>
            <wp:effectExtent l="0" t="0" r="0" b="0"/>
            <wp:wrapTopAndBottom distT="114300" distB="114300"/>
            <wp:docPr id="2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1983" cy="32787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50656A" w:rsidRDefault="0050656A" w:rsidP="00E82C8A">
      <w:pPr>
        <w:tabs>
          <w:tab w:val="left" w:pos="804"/>
        </w:tabs>
        <w:ind w:right="-80"/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color w:val="000000"/>
        </w:rPr>
      </w:pP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пена была получена путем травления ранее полученной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пены покрытой углеродом 5M соляной кислотой (</w:t>
      </w:r>
      <w:proofErr w:type="spellStart"/>
      <w:r>
        <w:rPr>
          <w:color w:val="000000"/>
        </w:rPr>
        <w:t>HCl</w:t>
      </w:r>
      <w:proofErr w:type="spellEnd"/>
      <w:r>
        <w:rPr>
          <w:color w:val="000000"/>
        </w:rPr>
        <w:t xml:space="preserve">) при 70 °C в течение 24 ч, где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пена была растворена и была получена чистая </w:t>
      </w: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пена, которая была исследована методом СЭМ, как показано на рисунке 16.</w:t>
      </w:r>
    </w:p>
    <w:p w:rsidR="00480622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3600" cy="1743392"/>
            <wp:effectExtent l="0" t="0" r="0" b="0"/>
            <wp:docPr id="1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33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80622" w:rsidRDefault="00480622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8925E4" w:rsidRDefault="008925E4" w:rsidP="008925E4">
      <w:pPr>
        <w:tabs>
          <w:tab w:val="left" w:pos="804"/>
        </w:tabs>
        <w:ind w:firstLine="709"/>
        <w:jc w:val="both"/>
        <w:rPr>
          <w:color w:val="000000"/>
        </w:rPr>
      </w:pPr>
      <w:r>
        <w:rPr>
          <w:color w:val="000000"/>
        </w:rPr>
        <w:t>а – 150 мкм</w:t>
      </w:r>
      <w:r w:rsidRPr="005B56FA">
        <w:rPr>
          <w:color w:val="000000"/>
        </w:rPr>
        <w:t xml:space="preserve">; </w:t>
      </w:r>
      <w:r>
        <w:rPr>
          <w:color w:val="000000"/>
        </w:rPr>
        <w:t>б – 100 мкм</w:t>
      </w:r>
      <w:r w:rsidRPr="005B56FA">
        <w:rPr>
          <w:color w:val="000000"/>
        </w:rPr>
        <w:t xml:space="preserve">; </w:t>
      </w:r>
      <w:r>
        <w:rPr>
          <w:color w:val="000000"/>
        </w:rPr>
        <w:t>в – 20 мкм</w:t>
      </w:r>
    </w:p>
    <w:p w:rsidR="008925E4" w:rsidRDefault="008925E4" w:rsidP="008925E4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 xml:space="preserve">Рисунок 16 – СЭМ-изображение полученной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при разных увеличениях</w:t>
      </w:r>
    </w:p>
    <w:p w:rsidR="00480622" w:rsidRDefault="00480622" w:rsidP="00DE65E1">
      <w:pPr>
        <w:tabs>
          <w:tab w:val="left" w:pos="804"/>
        </w:tabs>
        <w:spacing w:line="360" w:lineRule="auto"/>
        <w:ind w:right="-80" w:firstLine="850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color w:val="000000"/>
        </w:rPr>
      </w:pPr>
      <w:r>
        <w:rPr>
          <w:color w:val="000000"/>
        </w:rPr>
        <w:t xml:space="preserve">Несмотря на то, что </w:t>
      </w: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пена была успешно получена, она была хрупкой и не являлась гибкой для ее использования в качестве токоприемника. Для получения гибкой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сначала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пену покрыли углеродом в течение 1 ч и после пропитали ПДМС и, наконец, потравили 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пену </w:t>
      </w:r>
      <w:proofErr w:type="spellStart"/>
      <w:r>
        <w:rPr>
          <w:color w:val="000000"/>
        </w:rPr>
        <w:t>HCl</w:t>
      </w:r>
      <w:proofErr w:type="spellEnd"/>
      <w:r>
        <w:rPr>
          <w:color w:val="000000"/>
        </w:rPr>
        <w:t xml:space="preserve">. Полученный продукт исследовали методом ИК, показанный на рисунке 17. </w:t>
      </w:r>
    </w:p>
    <w:p w:rsidR="00257C23" w:rsidRDefault="00257C23" w:rsidP="00DE65E1">
      <w:pPr>
        <w:tabs>
          <w:tab w:val="left" w:pos="804"/>
        </w:tabs>
        <w:spacing w:line="360" w:lineRule="auto"/>
        <w:ind w:right="-80" w:firstLine="709"/>
        <w:jc w:val="center"/>
        <w:rPr>
          <w:color w:val="000000"/>
        </w:rPr>
      </w:pPr>
      <w:r>
        <w:rPr>
          <w:noProof/>
          <w:bdr w:val="none" w:sz="0" w:space="0" w:color="auto" w:frame="1"/>
          <w:lang w:val="en-US" w:eastAsia="en-US"/>
        </w:rPr>
        <w:lastRenderedPageBreak/>
        <w:drawing>
          <wp:inline distT="0" distB="0" distL="0" distR="0">
            <wp:extent cx="4102735" cy="3124835"/>
            <wp:effectExtent l="0" t="0" r="0" b="0"/>
            <wp:docPr id="40" name="Picture 40" descr="https://lh4.googleusercontent.com/SN4GOwl6X-tS7zqqLozHw7FpUT25F8eZkWb7DGYgZmonH4rxYngNSWZGSbOngNkLNmwWnYw5P-NiCmFuBHfqmkJDiRCdKpZ5TVy0wEg1GtNZtREp916pNqkqf1dxbc1FjI2I0C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4.googleusercontent.com/SN4GOwl6X-tS7zqqLozHw7FpUT25F8eZkWb7DGYgZmonH4rxYngNSWZGSbOngNkLNmwWnYw5P-NiCmFuBHfqmkJDiRCdKpZ5TVy0wEg1GtNZtREp916pNqkqf1dxbc1FjI2I0CeN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56A" w:rsidRDefault="00F868D6" w:rsidP="00DE65E1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color w:val="000000"/>
        </w:rPr>
        <w:t xml:space="preserve">Рисунок 17 </w:t>
      </w:r>
      <w:r w:rsidR="008722C7">
        <w:rPr>
          <w:color w:val="000000"/>
        </w:rPr>
        <w:t>–</w:t>
      </w:r>
      <w:r>
        <w:rPr>
          <w:color w:val="000000"/>
        </w:rPr>
        <w:t xml:space="preserve"> ИК-Фурье-спектр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на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пене покрытой ПДМС</w:t>
      </w:r>
    </w:p>
    <w:p w:rsidR="00257C23" w:rsidRDefault="00257C23" w:rsidP="00DE65E1">
      <w:pPr>
        <w:tabs>
          <w:tab w:val="left" w:pos="804"/>
        </w:tabs>
        <w:spacing w:line="360" w:lineRule="auto"/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color w:val="000000"/>
        </w:rPr>
      </w:pPr>
      <w:r>
        <w:rPr>
          <w:color w:val="000000"/>
        </w:rPr>
        <w:t>По результатам ИК можно идентифицировать чистый ПДМС по характеристическим пикам при 2962 и 2904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, которые относятся к асимметричным и симметричным </w:t>
      </w:r>
      <w:proofErr w:type="spellStart"/>
      <w:r>
        <w:rPr>
          <w:color w:val="000000"/>
        </w:rPr>
        <w:t>метильным</w:t>
      </w:r>
      <w:proofErr w:type="spellEnd"/>
      <w:r>
        <w:rPr>
          <w:color w:val="000000"/>
        </w:rPr>
        <w:t xml:space="preserve"> валентным колебаниям, соответственно. Кроме того, полоса поглощения при 1257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относится к симметричным деформационным колебаниям </w:t>
      </w:r>
      <w:proofErr w:type="spellStart"/>
      <w:r>
        <w:rPr>
          <w:color w:val="000000"/>
        </w:rPr>
        <w:t>метильной</w:t>
      </w:r>
      <w:proofErr w:type="spellEnd"/>
      <w:r>
        <w:rPr>
          <w:color w:val="000000"/>
        </w:rPr>
        <w:t xml:space="preserve"> связи, а пики при 1010 см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могут быть отнесены к асимметричным валентным колебаниям связи </w:t>
      </w:r>
      <w:proofErr w:type="spellStart"/>
      <w:r>
        <w:rPr>
          <w:color w:val="000000"/>
        </w:rPr>
        <w:t>Si</w:t>
      </w:r>
      <w:proofErr w:type="spellEnd"/>
      <w:r>
        <w:rPr>
          <w:color w:val="000000"/>
        </w:rPr>
        <w:t>-O-</w:t>
      </w:r>
      <w:proofErr w:type="spellStart"/>
      <w:r>
        <w:rPr>
          <w:color w:val="000000"/>
        </w:rPr>
        <w:t>Si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пена полученная после травления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на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пене покрытой ПДМС показана на рисунке 18.</w:t>
      </w:r>
    </w:p>
    <w:p w:rsidR="0050656A" w:rsidRDefault="00F868D6" w:rsidP="00DE65E1">
      <w:pPr>
        <w:tabs>
          <w:tab w:val="left" w:pos="804"/>
        </w:tabs>
        <w:spacing w:line="360" w:lineRule="auto"/>
        <w:ind w:right="-80" w:firstLine="850"/>
        <w:jc w:val="both"/>
        <w:rPr>
          <w:color w:val="000000"/>
        </w:rPr>
      </w:pPr>
      <w:r>
        <w:rPr>
          <w:color w:val="000000"/>
        </w:rPr>
        <w:t xml:space="preserve"> </w:t>
      </w:r>
    </w:p>
    <w:p w:rsidR="002278E7" w:rsidRDefault="00F868D6" w:rsidP="00DE65E1">
      <w:pPr>
        <w:tabs>
          <w:tab w:val="left" w:pos="804"/>
        </w:tabs>
        <w:spacing w:line="360" w:lineRule="auto"/>
        <w:ind w:right="-80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0115" cy="1892300"/>
            <wp:effectExtent l="0" t="0" r="0" b="0"/>
            <wp:docPr id="2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189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78E7" w:rsidRDefault="002278E7" w:rsidP="00E82C8A">
      <w:pPr>
        <w:tabs>
          <w:tab w:val="left" w:pos="804"/>
        </w:tabs>
        <w:ind w:right="-80"/>
        <w:jc w:val="center"/>
        <w:rPr>
          <w:color w:val="000000"/>
        </w:rPr>
      </w:pPr>
    </w:p>
    <w:p w:rsidR="008925E4" w:rsidRDefault="008925E4" w:rsidP="008925E4">
      <w:pPr>
        <w:tabs>
          <w:tab w:val="left" w:pos="804"/>
        </w:tabs>
        <w:spacing w:line="276" w:lineRule="auto"/>
        <w:ind w:right="-80" w:firstLine="709"/>
        <w:jc w:val="both"/>
        <w:rPr>
          <w:color w:val="000000"/>
        </w:rPr>
      </w:pPr>
      <w:r>
        <w:rPr>
          <w:color w:val="000000"/>
        </w:rPr>
        <w:t>а-б –токоприемник подвергается механическим воздействиям</w:t>
      </w:r>
    </w:p>
    <w:p w:rsidR="008925E4" w:rsidRDefault="008925E4" w:rsidP="008925E4">
      <w:pPr>
        <w:tabs>
          <w:tab w:val="left" w:pos="804"/>
        </w:tabs>
        <w:spacing w:line="276" w:lineRule="auto"/>
        <w:ind w:right="-80" w:firstLine="709"/>
        <w:jc w:val="center"/>
        <w:rPr>
          <w:color w:val="000000"/>
        </w:rPr>
      </w:pPr>
      <w:r>
        <w:rPr>
          <w:color w:val="000000"/>
        </w:rPr>
        <w:t xml:space="preserve">Рисунок 18 – Гибкая </w:t>
      </w: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пленка полученная методом химического осаждения из паровой фазы (CVD)</w:t>
      </w:r>
    </w:p>
    <w:p w:rsidR="0050656A" w:rsidRPr="00E82C8A" w:rsidRDefault="0050656A" w:rsidP="00DE65E1">
      <w:pPr>
        <w:tabs>
          <w:tab w:val="left" w:pos="804"/>
        </w:tabs>
        <w:ind w:right="-80" w:firstLine="709"/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color w:val="000000"/>
        </w:rPr>
      </w:pPr>
      <w:r>
        <w:rPr>
          <w:color w:val="000000"/>
        </w:rPr>
        <w:t xml:space="preserve">Также была исследована морфология полученной гибкой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с помощью СЭМ. Из рисунка 19 видно, что морфология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повторяет </w:t>
      </w:r>
      <w:r>
        <w:rPr>
          <w:color w:val="000000"/>
        </w:rPr>
        <w:lastRenderedPageBreak/>
        <w:t xml:space="preserve">морфологию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пены и не разрушается после сгибания или же других механических воздействий. Также, можно отметить, что  покрытие ПДМС полностью повторяет структуру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пены.</w:t>
      </w:r>
    </w:p>
    <w:p w:rsidR="0050656A" w:rsidRDefault="0050656A" w:rsidP="00E82C8A">
      <w:pPr>
        <w:tabs>
          <w:tab w:val="left" w:pos="804"/>
        </w:tabs>
        <w:ind w:right="-80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0115" cy="2159000"/>
            <wp:effectExtent l="0" t="0" r="0" b="0"/>
            <wp:docPr id="11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215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804"/>
        </w:tabs>
        <w:spacing w:line="276" w:lineRule="auto"/>
        <w:ind w:right="-80" w:firstLine="709"/>
        <w:rPr>
          <w:color w:val="000000"/>
        </w:rPr>
      </w:pPr>
      <w:r>
        <w:rPr>
          <w:color w:val="000000"/>
        </w:rPr>
        <w:t>а –</w:t>
      </w: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пена; б –</w:t>
      </w:r>
      <w:proofErr w:type="spellStart"/>
      <w:r>
        <w:rPr>
          <w:color w:val="000000"/>
        </w:rPr>
        <w:t>графеновая</w:t>
      </w:r>
      <w:proofErr w:type="spellEnd"/>
      <w:r>
        <w:rPr>
          <w:color w:val="000000"/>
        </w:rPr>
        <w:t xml:space="preserve"> пена с увеличением в 100 мкм </w:t>
      </w:r>
    </w:p>
    <w:p w:rsidR="008925E4" w:rsidRDefault="008925E4" w:rsidP="008925E4">
      <w:pPr>
        <w:tabs>
          <w:tab w:val="left" w:pos="804"/>
        </w:tabs>
        <w:spacing w:line="276" w:lineRule="auto"/>
        <w:ind w:right="-80"/>
        <w:jc w:val="center"/>
        <w:rPr>
          <w:color w:val="000000"/>
        </w:rPr>
      </w:pPr>
      <w:r>
        <w:rPr>
          <w:color w:val="000000"/>
        </w:rPr>
        <w:t>Рисунок 19 – СЭМ изображения</w:t>
      </w:r>
    </w:p>
    <w:p w:rsidR="00100F28" w:rsidRDefault="00100F28" w:rsidP="00DE65E1">
      <w:pPr>
        <w:tabs>
          <w:tab w:val="left" w:pos="804"/>
        </w:tabs>
        <w:spacing w:line="360" w:lineRule="auto"/>
        <w:ind w:right="-80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color w:val="000000"/>
        </w:rPr>
      </w:pPr>
      <w:r>
        <w:rPr>
          <w:i/>
          <w:color w:val="000000"/>
        </w:rPr>
        <w:t xml:space="preserve">Синтез гибкого катода на основе серы. </w:t>
      </w:r>
      <w:r>
        <w:rPr>
          <w:color w:val="000000"/>
        </w:rPr>
        <w:t xml:space="preserve">Процесс подготовки гибкого катодного электрода с использованием выше приготовленной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состоял из двух стадий: подготовка  суспензии состоящей из смеси серы и углерода (</w:t>
      </w:r>
      <w:proofErr w:type="spellStart"/>
      <w:r>
        <w:rPr>
          <w:color w:val="000000"/>
        </w:rPr>
        <w:t>KetjenBlack</w:t>
      </w:r>
      <w:proofErr w:type="spellEnd"/>
      <w:r>
        <w:rPr>
          <w:color w:val="000000"/>
        </w:rPr>
        <w:t xml:space="preserve">) необходимой для улучшения проводимости и объединение получившейся смеси с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пеной методом расплавленной диффузии.  С целью приготовления суспензии активного вещества первоначально сера и углерод были смешаны в весовом соотношении 1:1 с помощью планетарной шаровой мельницы при нормальных условиях при скорости 300 об/мин в течение 12 ч. Далее приготовленная смесь была нанесена на поверхность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с последующим нагреванием в трубчатой печи в среде </w:t>
      </w:r>
      <w:proofErr w:type="spellStart"/>
      <w:r>
        <w:rPr>
          <w:color w:val="000000"/>
        </w:rPr>
        <w:t>Ar</w:t>
      </w:r>
      <w:proofErr w:type="spellEnd"/>
      <w:r>
        <w:rPr>
          <w:color w:val="000000"/>
        </w:rPr>
        <w:t xml:space="preserve"> при температуре 155 °C. Полученный композит был использован как отдельно-стоящий гибкий электрод.  </w:t>
      </w:r>
    </w:p>
    <w:p w:rsidR="0050656A" w:rsidRDefault="00F868D6" w:rsidP="00DE65E1">
      <w:pPr>
        <w:tabs>
          <w:tab w:val="left" w:pos="804"/>
        </w:tabs>
        <w:spacing w:line="360" w:lineRule="auto"/>
        <w:ind w:firstLine="850"/>
        <w:jc w:val="both"/>
        <w:rPr>
          <w:color w:val="000000"/>
        </w:rPr>
      </w:pPr>
      <w:r>
        <w:rPr>
          <w:color w:val="000000"/>
        </w:rPr>
        <w:t>Кроме того, была исследована возможность получения отдельно-стоящего катода на основе ПТФЭ. Исходными веществами для приготовления электрода на основе ПТФЭ были выбраны сера (</w:t>
      </w:r>
      <w:proofErr w:type="spellStart"/>
      <w:r>
        <w:rPr>
          <w:color w:val="000000"/>
        </w:rPr>
        <w:t>LenReaktiv</w:t>
      </w:r>
      <w:proofErr w:type="spellEnd"/>
      <w:r>
        <w:rPr>
          <w:color w:val="000000"/>
        </w:rPr>
        <w:t>) и технический углерод с высокой электропроводностью (</w:t>
      </w:r>
      <w:proofErr w:type="spellStart"/>
      <w:r>
        <w:rPr>
          <w:color w:val="000000"/>
        </w:rPr>
        <w:t>Ketjenblack</w:t>
      </w:r>
      <w:proofErr w:type="spellEnd"/>
      <w:r>
        <w:rPr>
          <w:color w:val="000000"/>
        </w:rPr>
        <w:t xml:space="preserve">). Однородная масса была получена путем смешения в пропорции 1:1 серы и технического углерода с использованием шаровой мельницы при нормальных условиях при скорости 300 об/мин в течение 12 ч. Полученная масса была использована в качестве активного вещества для катода. Далее был приготовлен гибкий электрод путем смешения ранее полученной активной массы, ацетиленовой сажи и связующего полимера (ПТФЭ) в соотношении 7:2:1 и с последующим применением прокатного пресса был получен композит с толщиной 0.4 мкм.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lastRenderedPageBreak/>
        <w:t xml:space="preserve">Для исследования электрохимических свойств приготовленных катодов были собраны монетные аккумуляторы типа 2032. Синтезированные электроды использовались в качестве рабочего электрода, а металлический литий использовался как </w:t>
      </w:r>
      <w:proofErr w:type="spellStart"/>
      <w:r>
        <w:rPr>
          <w:color w:val="000000"/>
        </w:rPr>
        <w:t>противоэлектрод</w:t>
      </w:r>
      <w:proofErr w:type="spellEnd"/>
      <w:r>
        <w:rPr>
          <w:color w:val="000000"/>
        </w:rPr>
        <w:t xml:space="preserve"> или анод. Электролит представлял собой бис(</w:t>
      </w:r>
      <w:proofErr w:type="spellStart"/>
      <w:r>
        <w:rPr>
          <w:color w:val="000000"/>
        </w:rPr>
        <w:t>трифторметансульфонил</w:t>
      </w:r>
      <w:proofErr w:type="spellEnd"/>
      <w:r>
        <w:rPr>
          <w:color w:val="000000"/>
        </w:rPr>
        <w:t xml:space="preserve">) </w:t>
      </w:r>
      <w:proofErr w:type="spellStart"/>
      <w:r>
        <w:rPr>
          <w:color w:val="000000"/>
        </w:rPr>
        <w:t>имид</w:t>
      </w:r>
      <w:proofErr w:type="spellEnd"/>
      <w:r>
        <w:rPr>
          <w:color w:val="000000"/>
        </w:rPr>
        <w:t xml:space="preserve"> лития (2,8 М), растворенный в смеси </w:t>
      </w:r>
      <w:proofErr w:type="spellStart"/>
      <w:r>
        <w:rPr>
          <w:color w:val="000000"/>
        </w:rPr>
        <w:t>диметоксиэтана</w:t>
      </w:r>
      <w:proofErr w:type="spellEnd"/>
      <w:r>
        <w:rPr>
          <w:color w:val="000000"/>
        </w:rPr>
        <w:t xml:space="preserve"> (ДМЭ) и </w:t>
      </w:r>
      <w:proofErr w:type="spellStart"/>
      <w:r>
        <w:rPr>
          <w:color w:val="000000"/>
        </w:rPr>
        <w:t>диоксолана</w:t>
      </w:r>
      <w:proofErr w:type="spellEnd"/>
      <w:r>
        <w:rPr>
          <w:color w:val="000000"/>
        </w:rPr>
        <w:t xml:space="preserve"> (ДОЛ) в объемном соотношении 1:1. Гальваностатический тестер </w:t>
      </w:r>
      <w:proofErr w:type="spellStart"/>
      <w:r>
        <w:rPr>
          <w:color w:val="000000"/>
        </w:rPr>
        <w:t>Neware</w:t>
      </w:r>
      <w:proofErr w:type="spellEnd"/>
      <w:r>
        <w:rPr>
          <w:color w:val="000000"/>
        </w:rPr>
        <w:t xml:space="preserve"> использовался для измерения электрохимической емкости, а также срока службы рабочего электрода при комнатной температуре. Потенциалы отсечки для заряда и разряда были установлены на 1.5-3.0 В (относительно 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  <w:vertAlign w:val="superscript"/>
        </w:rPr>
        <w:t>+</w:t>
      </w:r>
      <w:r>
        <w:rPr>
          <w:color w:val="000000"/>
        </w:rPr>
        <w:t>/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>).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На рисунке 20 продемонстрированы электрохимические свойства приготовленного гибкого катода на основе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пены при 100 циклах заряда и разряда. Как видно из рисунка, </w:t>
      </w:r>
      <w:proofErr w:type="spellStart"/>
      <w:r>
        <w:rPr>
          <w:color w:val="000000"/>
        </w:rPr>
        <w:t>полученней</w:t>
      </w:r>
      <w:proofErr w:type="spellEnd"/>
      <w:r>
        <w:rPr>
          <w:color w:val="000000"/>
        </w:rPr>
        <w:t xml:space="preserve"> гибкий катод на </w:t>
      </w:r>
      <w:proofErr w:type="spellStart"/>
      <w:r>
        <w:rPr>
          <w:color w:val="000000"/>
        </w:rPr>
        <w:t>графеновой</w:t>
      </w:r>
      <w:proofErr w:type="spellEnd"/>
      <w:r>
        <w:rPr>
          <w:color w:val="000000"/>
        </w:rPr>
        <w:t xml:space="preserve"> пене показывает выход зарядно-разрядной емкости в 400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и Кулоновскую эффективность равную 100%. Несмотря на небольшую емкость аккумулятора, мы можем отметить высокий обратимый электрохимический процесс. Причина в не высокой емкости возможна заключается в неполной реакции литий-анода с серой, что приводит к растворению образовавшихся </w:t>
      </w:r>
      <w:proofErr w:type="spellStart"/>
      <w:r>
        <w:rPr>
          <w:color w:val="000000"/>
        </w:rPr>
        <w:t>полисульфидов</w:t>
      </w:r>
      <w:proofErr w:type="spellEnd"/>
      <w:r>
        <w:rPr>
          <w:color w:val="000000"/>
        </w:rPr>
        <w:t xml:space="preserve"> в жидком электролите. Это доказывает очень низкая Кулоновская эффективность при первом цикле около 50%, который при последующих циклах резко возрастает. Несмотря на высокую Кулоновскую эффективность, дальнейшие исследования будут проводиться с целью увеличения удельной емкости серного катода. </w:t>
      </w:r>
    </w:p>
    <w:p w:rsidR="0050656A" w:rsidRDefault="00257C23" w:rsidP="00DE65E1">
      <w:pPr>
        <w:tabs>
          <w:tab w:val="left" w:pos="804"/>
        </w:tabs>
        <w:spacing w:line="360" w:lineRule="auto"/>
        <w:jc w:val="center"/>
        <w:rPr>
          <w:noProof/>
          <w:color w:val="000000"/>
        </w:rPr>
      </w:pPr>
      <w:r>
        <w:rPr>
          <w:noProof/>
          <w:color w:val="000000"/>
          <w:bdr w:val="none" w:sz="0" w:space="0" w:color="auto" w:frame="1"/>
          <w:lang w:val="en-US" w:eastAsia="en-US"/>
        </w:rPr>
        <w:drawing>
          <wp:inline distT="0" distB="0" distL="0" distR="0">
            <wp:extent cx="3923665" cy="2722880"/>
            <wp:effectExtent l="0" t="0" r="635" b="1270"/>
            <wp:docPr id="39" name="Picture 39" descr="https://lh4.googleusercontent.com/QOTkYjDg0ohG_UVw3wY1tkPQBKn40o90zTL4_PcQBQRdLKx7k2nA_IeH3kZAjR9b2Mu0wBl69DGDf_c7KLwa2z1_xHQwA1lId00yBxM_2YMP5fOhCQkZhLCgruW5qEEr3rEeBb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QOTkYjDg0ohG_UVw3wY1tkPQBKn40o90zTL4_PcQBQRdLKx7k2nA_IeH3kZAjR9b2Mu0wBl69DGDf_c7KLwa2z1_xHQwA1lId00yBxM_2YMP5fOhCQkZhLCgruW5qEEr3rEeBbA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C23" w:rsidRDefault="00257C23" w:rsidP="00DE65E1">
      <w:pPr>
        <w:tabs>
          <w:tab w:val="left" w:pos="804"/>
        </w:tabs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ind w:right="-80"/>
        <w:jc w:val="center"/>
        <w:rPr>
          <w:color w:val="000000"/>
        </w:rPr>
      </w:pPr>
      <w:r>
        <w:rPr>
          <w:color w:val="000000"/>
        </w:rPr>
        <w:t xml:space="preserve">Рисунок 20 </w:t>
      </w:r>
      <w:r w:rsidR="008722C7">
        <w:rPr>
          <w:color w:val="000000"/>
        </w:rPr>
        <w:t>–</w:t>
      </w:r>
      <w:r>
        <w:rPr>
          <w:color w:val="000000"/>
        </w:rPr>
        <w:t xml:space="preserve"> Изображение результатов удельной емкости синтезированного катода на основе композита S/C на 100 циклов и Куло</w:t>
      </w:r>
      <w:r w:rsidR="00100F28">
        <w:rPr>
          <w:color w:val="000000"/>
        </w:rPr>
        <w:t>новской эффективности</w:t>
      </w:r>
    </w:p>
    <w:p w:rsidR="0050656A" w:rsidRDefault="0050656A" w:rsidP="00DE65E1">
      <w:pPr>
        <w:tabs>
          <w:tab w:val="left" w:pos="804"/>
        </w:tabs>
        <w:spacing w:line="360" w:lineRule="auto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lastRenderedPageBreak/>
        <w:t xml:space="preserve">Далее нами были исследованы электрохимические свойства катода на основе серы и ПТФЭ. Из рисунка 21а видно, что первый цикл достигает 850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во время разряда и 1200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во время заряда аккумулятора. Полученные характеристики очень свойственны для серных электродов, так как главная проблема заключается в растворении </w:t>
      </w:r>
      <w:proofErr w:type="spellStart"/>
      <w:r>
        <w:rPr>
          <w:color w:val="000000"/>
        </w:rPr>
        <w:t>полисульфидов</w:t>
      </w:r>
      <w:proofErr w:type="spellEnd"/>
      <w:r>
        <w:rPr>
          <w:color w:val="000000"/>
        </w:rPr>
        <w:t xml:space="preserve"> лития в жидком электролите. Этот процесс имеет название “шаттл эффект”, который является одной из причин препятствующей коммерциализации серных катодов. На рисунке 21б, мы </w:t>
      </w:r>
      <w:proofErr w:type="spellStart"/>
      <w:r>
        <w:rPr>
          <w:color w:val="000000"/>
        </w:rPr>
        <w:t>проциклировали</w:t>
      </w:r>
      <w:proofErr w:type="spellEnd"/>
      <w:r>
        <w:rPr>
          <w:color w:val="000000"/>
        </w:rPr>
        <w:t xml:space="preserve"> наш электрод в течении 40 циклов с Кулоновской эффективностью около 70%. Полученные результаты находятся в начальной стадии и дальнейшие исследования по уменьшению “шаттл эффекта” будут проводиться. </w:t>
      </w:r>
    </w:p>
    <w:p w:rsidR="0050656A" w:rsidRDefault="0050656A" w:rsidP="00DE65E1">
      <w:pPr>
        <w:tabs>
          <w:tab w:val="left" w:pos="804"/>
        </w:tabs>
        <w:spacing w:line="360" w:lineRule="auto"/>
        <w:rPr>
          <w:color w:val="000000"/>
        </w:rPr>
      </w:pPr>
    </w:p>
    <w:p w:rsidR="000C580B" w:rsidRDefault="00257C23" w:rsidP="00E82C8A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  <w:bdr w:val="none" w:sz="0" w:space="0" w:color="auto" w:frame="1"/>
          <w:lang w:val="en-US" w:eastAsia="en-US"/>
        </w:rPr>
        <w:drawing>
          <wp:inline distT="0" distB="0" distL="0" distR="0">
            <wp:extent cx="5940425" cy="2017563"/>
            <wp:effectExtent l="0" t="0" r="3175" b="1905"/>
            <wp:docPr id="38" name="Picture 38" descr="https://lh4.googleusercontent.com/gzvzS-sVxWTyIcg6qbFMRE6NQwIWLn0To2Fc919RxeLr7iL5svoeEhPoQ_7p494i-95FyClWHvAwIyQvbV1rqUvZUVFEbpUBQDjYMDTPkskHmdaGNSIemzRcysEX4DxeRl12Ijs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4.googleusercontent.com/gzvzS-sVxWTyIcg6qbFMRE6NQwIWLn0To2Fc919RxeLr7iL5svoeEhPoQ_7p494i-95FyClWHvAwIyQvbV1rqUvZUVFEbpUBQDjYMDTPkskHmdaGNSIemzRcysEX4DxeRl12IjsR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1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804"/>
        </w:tabs>
        <w:ind w:firstLine="709"/>
        <w:jc w:val="both"/>
        <w:rPr>
          <w:color w:val="000000"/>
        </w:rPr>
      </w:pPr>
      <w:r>
        <w:rPr>
          <w:color w:val="000000"/>
        </w:rPr>
        <w:t>а – электрохимический заряд-разряд</w:t>
      </w:r>
      <w:r w:rsidRPr="005B56FA">
        <w:rPr>
          <w:color w:val="000000"/>
        </w:rPr>
        <w:t xml:space="preserve">; </w:t>
      </w:r>
      <w:r>
        <w:rPr>
          <w:color w:val="000000"/>
        </w:rPr>
        <w:t xml:space="preserve">б – циклические </w:t>
      </w:r>
      <w:proofErr w:type="spellStart"/>
      <w:r>
        <w:rPr>
          <w:color w:val="000000"/>
        </w:rPr>
        <w:t>характеристи</w:t>
      </w:r>
      <w:proofErr w:type="spellEnd"/>
      <w:r>
        <w:rPr>
          <w:color w:val="000000"/>
        </w:rPr>
        <w:t xml:space="preserve"> и Кулоновской эффективность</w:t>
      </w:r>
    </w:p>
    <w:p w:rsidR="008925E4" w:rsidRDefault="008925E4" w:rsidP="008925E4">
      <w:pPr>
        <w:tabs>
          <w:tab w:val="left" w:pos="804"/>
        </w:tabs>
        <w:ind w:firstLine="709"/>
        <w:jc w:val="center"/>
        <w:rPr>
          <w:color w:val="000000"/>
        </w:rPr>
      </w:pPr>
      <w:r>
        <w:rPr>
          <w:color w:val="000000"/>
        </w:rPr>
        <w:t>Рисунок 21 – Электрохимические показатели синтезированного катода в зависимости от количества циклов и Кулоновской эффективности ПТФЭ</w:t>
      </w:r>
    </w:p>
    <w:p w:rsidR="000C580B" w:rsidRPr="00E82C8A" w:rsidRDefault="000C580B" w:rsidP="00DE65E1">
      <w:pPr>
        <w:tabs>
          <w:tab w:val="left" w:pos="804"/>
        </w:tabs>
        <w:ind w:firstLine="709"/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Таким образом, был приготовлен </w:t>
      </w:r>
      <w:proofErr w:type="spellStart"/>
      <w:r>
        <w:rPr>
          <w:color w:val="000000"/>
        </w:rPr>
        <w:t>графен</w:t>
      </w:r>
      <w:proofErr w:type="spellEnd"/>
      <w:r>
        <w:rPr>
          <w:color w:val="000000"/>
        </w:rPr>
        <w:t xml:space="preserve"> с трехмерной структурой с использованием </w:t>
      </w:r>
      <w:proofErr w:type="spellStart"/>
      <w:r>
        <w:rPr>
          <w:color w:val="000000"/>
        </w:rPr>
        <w:t>Ni</w:t>
      </w:r>
      <w:proofErr w:type="spellEnd"/>
      <w:r>
        <w:rPr>
          <w:color w:val="000000"/>
        </w:rPr>
        <w:t xml:space="preserve"> пены как каркаса. Были проведены работы по оптимизации процесса получения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в ходе которой было установлено, что 1,5 ч является наиболее оптимальным временем для синтеза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. Далее был приготовлен гибкий катод посредством внедрения активного катодного материала в трехмерный каркас гибкого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. Более того, были получены и исследованы отдельно-стоящие катоды на основе ПТФЭ и серы. Электрохимические тесты показали, что оба катода способны поддерживать стабильную емкость при длительном </w:t>
      </w:r>
      <w:proofErr w:type="spellStart"/>
      <w:r>
        <w:rPr>
          <w:color w:val="000000"/>
        </w:rPr>
        <w:t>циклировании</w:t>
      </w:r>
      <w:proofErr w:type="spellEnd"/>
      <w:r>
        <w:rPr>
          <w:color w:val="000000"/>
        </w:rPr>
        <w:t>.</w:t>
      </w:r>
    </w:p>
    <w:p w:rsidR="0050656A" w:rsidRDefault="00F868D6" w:rsidP="00DE65E1">
      <w:pPr>
        <w:tabs>
          <w:tab w:val="left" w:pos="804"/>
        </w:tabs>
        <w:spacing w:line="360" w:lineRule="auto"/>
        <w:ind w:right="-80" w:firstLine="709"/>
        <w:jc w:val="both"/>
        <w:rPr>
          <w:b/>
          <w:color w:val="000000"/>
        </w:rPr>
      </w:pPr>
      <w:r>
        <w:rPr>
          <w:i/>
          <w:color w:val="000000"/>
        </w:rPr>
        <w:t>Синтез гибкого катода на основе сульфида меди (</w:t>
      </w:r>
      <w:proofErr w:type="spellStart"/>
      <w:r>
        <w:rPr>
          <w:i/>
          <w:color w:val="000000"/>
        </w:rPr>
        <w:t>CuS</w:t>
      </w:r>
      <w:proofErr w:type="spellEnd"/>
      <w:r>
        <w:rPr>
          <w:i/>
          <w:color w:val="000000"/>
        </w:rPr>
        <w:t xml:space="preserve">).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Проводящие гибкие пленки сульфида меди (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) с уникальными иерархическими </w:t>
      </w:r>
      <w:proofErr w:type="spellStart"/>
      <w:r>
        <w:rPr>
          <w:color w:val="000000"/>
        </w:rPr>
        <w:t>нанокристаллическими</w:t>
      </w:r>
      <w:proofErr w:type="spellEnd"/>
      <w:r>
        <w:rPr>
          <w:color w:val="000000"/>
        </w:rPr>
        <w:t xml:space="preserve"> ветвями, выращенными непосредственно на трехмерной пористой пене меди (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), впервые были изготовлены с использованием простого и легкого метода обработки раствора без связующих добавок. Процедура синтеза выполняется быстро и не требует сложных реакций.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lastRenderedPageBreak/>
        <w:t xml:space="preserve">Материалы использованные для синтеза являются промышленная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пена (MTI </w:t>
      </w:r>
      <w:proofErr w:type="spellStart"/>
      <w:r>
        <w:rPr>
          <w:color w:val="000000"/>
        </w:rPr>
        <w:t>Corp</w:t>
      </w:r>
      <w:proofErr w:type="spellEnd"/>
      <w:r>
        <w:rPr>
          <w:color w:val="000000"/>
        </w:rPr>
        <w:t>.), порошок серы (</w:t>
      </w:r>
      <w:proofErr w:type="spellStart"/>
      <w:r>
        <w:rPr>
          <w:color w:val="000000"/>
        </w:rPr>
        <w:t>LenReaktiv</w:t>
      </w:r>
      <w:proofErr w:type="spellEnd"/>
      <w:r>
        <w:rPr>
          <w:color w:val="000000"/>
        </w:rPr>
        <w:t xml:space="preserve">) и </w:t>
      </w:r>
      <w:proofErr w:type="spellStart"/>
      <w:r>
        <w:rPr>
          <w:color w:val="000000"/>
        </w:rPr>
        <w:t>диметилсульфоксид</w:t>
      </w:r>
      <w:proofErr w:type="spellEnd"/>
      <w:r>
        <w:rPr>
          <w:color w:val="000000"/>
        </w:rPr>
        <w:t xml:space="preserve"> (C</w:t>
      </w:r>
      <w:r>
        <w:rPr>
          <w:color w:val="000000"/>
          <w:vertAlign w:val="subscript"/>
        </w:rPr>
        <w:t>2</w:t>
      </w:r>
      <w:r>
        <w:rPr>
          <w:color w:val="000000"/>
        </w:rPr>
        <w:t>H</w:t>
      </w:r>
      <w:r>
        <w:rPr>
          <w:color w:val="000000"/>
          <w:vertAlign w:val="subscript"/>
        </w:rPr>
        <w:t>6</w:t>
      </w:r>
      <w:r>
        <w:rPr>
          <w:color w:val="000000"/>
        </w:rPr>
        <w:t xml:space="preserve">OS, ДМСО, </w:t>
      </w:r>
      <w:proofErr w:type="spellStart"/>
      <w:r>
        <w:rPr>
          <w:color w:val="000000"/>
        </w:rPr>
        <w:t>Sigma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Aldrich</w:t>
      </w:r>
      <w:proofErr w:type="spellEnd"/>
      <w:r>
        <w:rPr>
          <w:color w:val="000000"/>
        </w:rPr>
        <w:t>). Материалы были аналитической чистоты и использовались без дополнительной очистки. Во-первых, чтобы оценить растворимость порошка серы в ДМСО, различные количества порошка серы растворяли в 20 мл ДМСО до насыщения при стабильной температуре 115 °C. После этого оптимизированное количество серы (0.4 г) было использовано в дальнейших экспериментах.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Для приготовления медной пены ее разрезали на небольшие прямоугольные кусочки, промывали ацетоном и сушили в вакуумной печи при 60 °C в течение 3 ч. После полного растворения порошка серы в ДМСО, в раствор добавляли подготовленную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пену. Далее полученные почерневшие куски медной пены вследствие реакции с серой сушили в вакуумной печи при 60 °C в течение 24 ч.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Фазу сульфида меди исследовали рентгеноструктурным анализом свежеприготовленных образцов. На рисунке 22 представлены спектры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и Cu</w:t>
      </w:r>
      <w:r>
        <w:rPr>
          <w:color w:val="000000"/>
          <w:vertAlign w:val="subscript"/>
        </w:rPr>
        <w:t>1.8</w:t>
      </w:r>
      <w:r>
        <w:rPr>
          <w:color w:val="000000"/>
        </w:rPr>
        <w:t xml:space="preserve">S при разном содержании растворенной серы в ДМСО. Поскольку температура и время были постоянными, различия связаны только с влиянием содержания серы в растворе. Два пика высокой интенсивности при 43.3° и 50.43° относятся к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(ICDD: 004-0836). В образцах с содержанием серы от 0.1 до 0.3 г  в растворе ДМСО наблюдается смесь спектров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(ICDD: 006-0464) и Cu</w:t>
      </w:r>
      <w:r>
        <w:rPr>
          <w:color w:val="000000"/>
          <w:vertAlign w:val="subscript"/>
        </w:rPr>
        <w:t>1.8</w:t>
      </w:r>
      <w:r>
        <w:rPr>
          <w:color w:val="000000"/>
        </w:rPr>
        <w:t xml:space="preserve">S (ICDD: 01-073-8624). Все пики в основном привязаны к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>, однако, с четким дополнительным пиком Cu</w:t>
      </w:r>
      <w:r>
        <w:rPr>
          <w:color w:val="000000"/>
          <w:vertAlign w:val="subscript"/>
        </w:rPr>
        <w:t>1.8</w:t>
      </w:r>
      <w:r>
        <w:rPr>
          <w:color w:val="000000"/>
        </w:rPr>
        <w:t xml:space="preserve">S при 46.10°. Хотя при увеличении содержания серы в растворе до 0.4 г все пики могут соответствовать гексагональной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. Стоит отметить, что реакция будет происходить только при стабильной температуре 115 °C, так как тепло способствует времени реакции между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и S. ДМСО - это растворитель с высокой температурой кипения 189 °C и высокой температурой замерзания 18.5 °C. Растворимость серы в ДМСО относительно высока при температурах выше 115 °C, а осаждение серы происходит быстро, когда температура падает ниже 80 °C. Следовательно, ДМСО можно использовать в качестве эффективного растворителя для приготовления </w:t>
      </w:r>
      <w:proofErr w:type="spellStart"/>
      <w:r>
        <w:rPr>
          <w:color w:val="000000"/>
        </w:rPr>
        <w:t>нанокомпозитов</w:t>
      </w:r>
      <w:proofErr w:type="spellEnd"/>
      <w:r>
        <w:rPr>
          <w:color w:val="000000"/>
        </w:rPr>
        <w:t xml:space="preserve"> серы, таких как сульфиды металлов.</w:t>
      </w:r>
    </w:p>
    <w:p w:rsidR="0050656A" w:rsidRDefault="0050656A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</w:p>
    <w:p w:rsidR="0050656A" w:rsidRDefault="00F868D6" w:rsidP="00DE65E1">
      <w:pPr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lastRenderedPageBreak/>
        <w:drawing>
          <wp:inline distT="114300" distB="114300" distL="114300" distR="114300">
            <wp:extent cx="4597880" cy="2866079"/>
            <wp:effectExtent l="0" t="0" r="0" b="0"/>
            <wp:docPr id="17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7880" cy="28660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65E1" w:rsidRDefault="00DE65E1" w:rsidP="00DE65E1">
      <w:pPr>
        <w:ind w:firstLine="709"/>
        <w:jc w:val="center"/>
        <w:rPr>
          <w:color w:val="000000"/>
        </w:rPr>
      </w:pPr>
    </w:p>
    <w:p w:rsidR="008925E4" w:rsidRDefault="008925E4" w:rsidP="008925E4">
      <w:pPr>
        <w:ind w:firstLine="709"/>
        <w:jc w:val="both"/>
        <w:rPr>
          <w:color w:val="000000"/>
        </w:rPr>
      </w:pPr>
      <w:r>
        <w:rPr>
          <w:color w:val="000000"/>
        </w:rPr>
        <w:t>а – при различных температурах синтеза с количеством серы, равным 0.1 г, растворенным в ДМСО; б – образцы при 115 °C в течение 3 мин с различным количеством серы, растворенной в ДМСО</w:t>
      </w:r>
    </w:p>
    <w:p w:rsidR="008925E4" w:rsidRPr="008722C7" w:rsidRDefault="008925E4" w:rsidP="008925E4">
      <w:pPr>
        <w:jc w:val="center"/>
        <w:rPr>
          <w:b/>
          <w:color w:val="000000"/>
        </w:rPr>
      </w:pPr>
      <w:r>
        <w:rPr>
          <w:color w:val="000000"/>
        </w:rPr>
        <w:t>Рисунок 22</w:t>
      </w:r>
      <w:r>
        <w:rPr>
          <w:b/>
          <w:color w:val="000000"/>
        </w:rPr>
        <w:t xml:space="preserve"> –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Дифрактограмма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на медной пене </w:t>
      </w:r>
    </w:p>
    <w:p w:rsidR="0050656A" w:rsidRDefault="0050656A" w:rsidP="00DE65E1">
      <w:pPr>
        <w:jc w:val="both"/>
        <w:rPr>
          <w:color w:val="000000"/>
        </w:rPr>
      </w:pPr>
    </w:p>
    <w:p w:rsidR="0050656A" w:rsidRDefault="00F868D6" w:rsidP="00DE65E1">
      <w:pP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Чтобы продемонстрировать морфологию и микроструктуру взаимосвязанных массивов шероховатых </w:t>
      </w:r>
      <w:proofErr w:type="spellStart"/>
      <w:r>
        <w:rPr>
          <w:color w:val="000000"/>
        </w:rPr>
        <w:t>наностенок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, был проведен анализ СЭМ. Медная пена может легко преобразоваться в </w:t>
      </w:r>
      <w:proofErr w:type="spellStart"/>
      <w:r>
        <w:rPr>
          <w:color w:val="000000"/>
        </w:rPr>
        <w:t>Cu</w:t>
      </w:r>
      <w:r>
        <w:rPr>
          <w:color w:val="000000"/>
          <w:vertAlign w:val="subscript"/>
        </w:rPr>
        <w:t>х</w:t>
      </w:r>
      <w:r>
        <w:rPr>
          <w:color w:val="000000"/>
        </w:rPr>
        <w:t>S</w:t>
      </w:r>
      <w:proofErr w:type="spellEnd"/>
      <w:r>
        <w:rPr>
          <w:color w:val="000000"/>
        </w:rPr>
        <w:t xml:space="preserve"> с добавлением серы. Таким образом, полученные массивы </w:t>
      </w:r>
      <w:proofErr w:type="spellStart"/>
      <w:r>
        <w:rPr>
          <w:color w:val="000000"/>
        </w:rPr>
        <w:t>наностенок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четко прикрепляются к поверхности медной пены из-за простой активности реакции между медью и серой. Мы можем наблюдать, что активность реакции между медной пены и содержанием серы напрямую связана с изменением морфологии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>. На рисунке 23</w:t>
      </w:r>
      <w:r w:rsidR="00100F28">
        <w:rPr>
          <w:color w:val="000000"/>
        </w:rPr>
        <w:t xml:space="preserve"> </w:t>
      </w:r>
      <w:r>
        <w:rPr>
          <w:color w:val="000000"/>
        </w:rPr>
        <w:t xml:space="preserve">б показано самое низкое содержание серы в растворе ДМСО (0.1 г), и мы можем видеть образование небольших </w:t>
      </w:r>
      <w:proofErr w:type="spellStart"/>
      <w:r>
        <w:rPr>
          <w:color w:val="000000"/>
        </w:rPr>
        <w:t>наностенок</w:t>
      </w:r>
      <w:proofErr w:type="spellEnd"/>
      <w:r>
        <w:rPr>
          <w:color w:val="000000"/>
        </w:rPr>
        <w:t xml:space="preserve">. В то время как с увеличением содержания серы до 0.4 г мы смогли вырастить больше </w:t>
      </w:r>
      <w:proofErr w:type="spellStart"/>
      <w:r>
        <w:rPr>
          <w:color w:val="000000"/>
        </w:rPr>
        <w:t>наностенок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на медной пене с четкой эволюцией морфологии (рисунок 23</w:t>
      </w:r>
      <w:r w:rsidR="00100F28">
        <w:rPr>
          <w:color w:val="000000"/>
        </w:rPr>
        <w:t xml:space="preserve"> </w:t>
      </w:r>
      <w:r>
        <w:rPr>
          <w:color w:val="000000"/>
        </w:rPr>
        <w:t xml:space="preserve">д). СЭМ изображения вида сверху показывают, что соединенные между собой </w:t>
      </w:r>
      <w:proofErr w:type="spellStart"/>
      <w:r>
        <w:rPr>
          <w:color w:val="000000"/>
        </w:rPr>
        <w:t>наностенки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равномерно распределены и прочно прилегают к поверхности медной пены со средней толщиной около 500 </w:t>
      </w:r>
      <w:proofErr w:type="spellStart"/>
      <w:r>
        <w:rPr>
          <w:color w:val="000000"/>
        </w:rPr>
        <w:t>нм</w:t>
      </w:r>
      <w:proofErr w:type="spellEnd"/>
      <w:r>
        <w:rPr>
          <w:color w:val="000000"/>
        </w:rPr>
        <w:t xml:space="preserve"> (рисунок 23е). Увеличенное изображение СЭМ на рисунке 23е очевидно показывает, что соединенные между собой </w:t>
      </w:r>
      <w:proofErr w:type="spellStart"/>
      <w:r>
        <w:rPr>
          <w:color w:val="000000"/>
        </w:rPr>
        <w:t>наностенки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имеют шероховатую поверхность с множеством ультратонких </w:t>
      </w:r>
      <w:proofErr w:type="spellStart"/>
      <w:r>
        <w:rPr>
          <w:color w:val="000000"/>
        </w:rPr>
        <w:t>нанолистов</w:t>
      </w:r>
      <w:proofErr w:type="spellEnd"/>
      <w:r>
        <w:rPr>
          <w:color w:val="000000"/>
        </w:rPr>
        <w:t xml:space="preserve">, выращенных с обеих сторон. </w:t>
      </w:r>
    </w:p>
    <w:p w:rsidR="0050656A" w:rsidRDefault="0050656A" w:rsidP="00DE65E1">
      <w:pPr>
        <w:spacing w:line="360" w:lineRule="auto"/>
        <w:jc w:val="both"/>
        <w:rPr>
          <w:color w:val="000000"/>
        </w:rPr>
      </w:pPr>
    </w:p>
    <w:p w:rsidR="0050656A" w:rsidRDefault="00F868D6" w:rsidP="00DE65E1">
      <w:pPr>
        <w:spacing w:line="360" w:lineRule="auto"/>
        <w:jc w:val="center"/>
        <w:rPr>
          <w:color w:val="000000"/>
        </w:rPr>
      </w:pPr>
      <w:r>
        <w:rPr>
          <w:color w:val="000000"/>
        </w:rPr>
        <w:lastRenderedPageBreak/>
        <w:t xml:space="preserve"> </w:t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4341403" cy="4495483"/>
            <wp:effectExtent l="0" t="0" r="0" b="0"/>
            <wp:docPr id="35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1403" cy="44954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25E4" w:rsidRPr="00257C23" w:rsidRDefault="008925E4" w:rsidP="008925E4">
      <w:pPr>
        <w:ind w:firstLine="709"/>
        <w:jc w:val="both"/>
        <w:rPr>
          <w:color w:val="000000"/>
        </w:rPr>
      </w:pPr>
      <w:r w:rsidRPr="00257C23">
        <w:rPr>
          <w:color w:val="000000"/>
        </w:rPr>
        <w:t>а – чистая медная пена; б – 0,1 г серы; в –0,2 г серы; г –0.3 г серы; д, е – 0,4 г серы с разным увеличением</w:t>
      </w:r>
    </w:p>
    <w:p w:rsidR="008925E4" w:rsidRDefault="008925E4" w:rsidP="008925E4">
      <w:pPr>
        <w:jc w:val="center"/>
        <w:rPr>
          <w:color w:val="000000"/>
        </w:rPr>
      </w:pPr>
      <w:r w:rsidRPr="00257C23">
        <w:rPr>
          <w:color w:val="000000"/>
        </w:rPr>
        <w:t xml:space="preserve">Рисунок 23 – СЭМ-изображения </w:t>
      </w:r>
      <w:proofErr w:type="spellStart"/>
      <w:r w:rsidRPr="00257C23">
        <w:rPr>
          <w:color w:val="000000"/>
        </w:rPr>
        <w:t>CuS</w:t>
      </w:r>
      <w:proofErr w:type="spellEnd"/>
      <w:r w:rsidRPr="00257C23">
        <w:rPr>
          <w:color w:val="000000"/>
        </w:rPr>
        <w:t xml:space="preserve"> с различным содержанием серы</w:t>
      </w:r>
    </w:p>
    <w:p w:rsidR="00895F0A" w:rsidRDefault="00895F0A" w:rsidP="00DE65E1">
      <w:pPr>
        <w:spacing w:line="360" w:lineRule="auto"/>
        <w:jc w:val="center"/>
        <w:rPr>
          <w:color w:val="000000"/>
        </w:rPr>
      </w:pPr>
    </w:p>
    <w:p w:rsidR="00744DBD" w:rsidRDefault="00744DBD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Зарядно-разрядные профили пленки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на медной пене представлены на рисунке 24а. Сначала емкость заряда и разряда достигает 420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с отличной обратимостью. Видны типичные плато разряда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в областях 2.1 и 1.7 В соответственно. 1-й заряд показывает плато при 2.25 В, а после 10 циклов уменьшается до 2.1 В. На 10-м цикле зарядно-разрядная емкость достигает 430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. Увеличение емкости может быть связано с эффективными активными центрами для обратимой реакции между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и Li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S во время заряда, поскольку система имеет достаточное количество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для реакции.</w:t>
      </w:r>
    </w:p>
    <w:p w:rsidR="00895F0A" w:rsidRDefault="00895F0A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Циклические характеристики при 0.1C представлены на рисунке 24б, и мы можем наблюдать стабильную циклическую способность при 430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 в течение 40 циклов. Массовая нагрузка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была высокой из-за проникновения и полного внутреннего образования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на всей пористой структуре трехмерной медной пены. Созданная уникальная взаимосвязанная </w:t>
      </w:r>
      <w:proofErr w:type="spellStart"/>
      <w:r>
        <w:rPr>
          <w:color w:val="000000"/>
        </w:rPr>
        <w:t>наностенка</w:t>
      </w:r>
      <w:proofErr w:type="spellEnd"/>
      <w:r>
        <w:rPr>
          <w:color w:val="000000"/>
        </w:rPr>
        <w:t xml:space="preserve"> с большим количеством открытых пространств может обеспечить большее количество </w:t>
      </w:r>
      <w:proofErr w:type="spellStart"/>
      <w:r>
        <w:rPr>
          <w:color w:val="000000"/>
        </w:rPr>
        <w:t>электроактивных</w:t>
      </w:r>
      <w:proofErr w:type="spellEnd"/>
      <w:r>
        <w:rPr>
          <w:color w:val="000000"/>
        </w:rPr>
        <w:t xml:space="preserve"> участков на поверхности, что может привести к эффективному проникновению электролита и усилению переноса массы и заряда на границе раздела между электрод электролитом.</w:t>
      </w:r>
    </w:p>
    <w:p w:rsidR="0050656A" w:rsidRDefault="00257C23" w:rsidP="00DE65E1">
      <w:pPr>
        <w:spacing w:line="360" w:lineRule="auto"/>
        <w:jc w:val="center"/>
        <w:rPr>
          <w:b/>
          <w:color w:val="000000"/>
        </w:rPr>
      </w:pPr>
      <w:r>
        <w:rPr>
          <w:b/>
          <w:bCs/>
          <w:noProof/>
          <w:color w:val="000000"/>
          <w:bdr w:val="none" w:sz="0" w:space="0" w:color="auto" w:frame="1"/>
          <w:lang w:val="en-US" w:eastAsia="en-US"/>
        </w:rPr>
        <w:lastRenderedPageBreak/>
        <w:drawing>
          <wp:inline distT="0" distB="0" distL="0" distR="0">
            <wp:extent cx="4885690" cy="1931035"/>
            <wp:effectExtent l="0" t="0" r="0" b="0"/>
            <wp:docPr id="37" name="Picture 37" descr="https://lh3.googleusercontent.com/Zx-1LIBH7JEruXiDhrBAb7qbOy0w0Bkj5QqrGzyVIzCVEUswm2gpf14mxO99DTvvNafzfCL_22y-TgJmAe7S5S_E-96OCnahClbAO_rKVIXesk3o8IIkZ-e4wmO0EK4KKLhEyqZ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Zx-1LIBH7JEruXiDhrBAb7qbOy0w0Bkj5QqrGzyVIzCVEUswm2gpf14mxO99DTvvNafzfCL_22y-TgJmAe7S5S_E-96OCnahClbAO_rKVIXesk3o8IIkZ-e4wmO0EK4KKLhEyqZ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804"/>
        </w:tabs>
        <w:ind w:firstLine="709"/>
        <w:jc w:val="both"/>
        <w:rPr>
          <w:color w:val="000000"/>
        </w:rPr>
      </w:pPr>
      <w:r>
        <w:rPr>
          <w:color w:val="000000"/>
        </w:rPr>
        <w:t>а – электрохимический заряд-разряд</w:t>
      </w:r>
      <w:r w:rsidRPr="005B56FA">
        <w:rPr>
          <w:color w:val="000000"/>
        </w:rPr>
        <w:t xml:space="preserve">; </w:t>
      </w:r>
      <w:r>
        <w:rPr>
          <w:color w:val="000000"/>
        </w:rPr>
        <w:t>б – циклические характеристи</w:t>
      </w:r>
      <w:r w:rsidR="004E3AB7">
        <w:rPr>
          <w:color w:val="000000"/>
        </w:rPr>
        <w:t>ки</w:t>
      </w:r>
      <w:r>
        <w:rPr>
          <w:color w:val="000000"/>
        </w:rPr>
        <w:t xml:space="preserve"> и Кулоновской эффективность</w:t>
      </w:r>
    </w:p>
    <w:p w:rsidR="008925E4" w:rsidRDefault="008925E4" w:rsidP="008925E4">
      <w:pPr>
        <w:tabs>
          <w:tab w:val="left" w:pos="804"/>
        </w:tabs>
        <w:ind w:firstLine="709"/>
        <w:jc w:val="center"/>
        <w:rPr>
          <w:color w:val="000000"/>
        </w:rPr>
      </w:pPr>
      <w:r>
        <w:rPr>
          <w:color w:val="000000"/>
        </w:rPr>
        <w:t xml:space="preserve">Рисунок 24 – Электрохимические показатели пленки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</w:t>
      </w:r>
      <w:r w:rsidRPr="000F751D">
        <w:rPr>
          <w:color w:val="000000"/>
        </w:rPr>
        <w:t>на медной пене</w:t>
      </w:r>
    </w:p>
    <w:p w:rsidR="00E82C8A" w:rsidRDefault="00E82C8A" w:rsidP="00E82C8A">
      <w:pPr>
        <w:tabs>
          <w:tab w:val="left" w:pos="804"/>
        </w:tabs>
        <w:jc w:val="center"/>
        <w:rPr>
          <w:color w:val="000000"/>
        </w:rPr>
      </w:pPr>
    </w:p>
    <w:p w:rsidR="000F751D" w:rsidRPr="00E82C8A" w:rsidRDefault="000F751D" w:rsidP="00E82C8A">
      <w:pPr>
        <w:tabs>
          <w:tab w:val="left" w:pos="804"/>
        </w:tabs>
        <w:ind w:firstLine="709"/>
        <w:jc w:val="center"/>
        <w:rPr>
          <w:color w:val="000000"/>
        </w:rPr>
      </w:pPr>
    </w:p>
    <w:p w:rsidR="0050656A" w:rsidRDefault="00F868D6" w:rsidP="00DE65E1">
      <w:pP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Для дальнейшего улучшения электрохимической реакции между </w:t>
      </w:r>
      <w:proofErr w:type="spellStart"/>
      <w:r>
        <w:rPr>
          <w:color w:val="000000"/>
        </w:rPr>
        <w:t>Li</w:t>
      </w:r>
      <w:proofErr w:type="spellEnd"/>
      <w:r>
        <w:rPr>
          <w:color w:val="000000"/>
        </w:rPr>
        <w:t xml:space="preserve"> и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приготовленные пленки были покрыты углеродом в РФ-магнетронном распылении. Углеродный тонкий слой в нанометрах сможет улучшить проводимость электрода, проникновение ионов лития и так же будет действовать в виде барьера от растворения </w:t>
      </w:r>
      <w:proofErr w:type="spellStart"/>
      <w:r>
        <w:rPr>
          <w:color w:val="000000"/>
        </w:rPr>
        <w:t>полисульфидов</w:t>
      </w:r>
      <w:proofErr w:type="spellEnd"/>
      <w:r>
        <w:rPr>
          <w:color w:val="000000"/>
        </w:rPr>
        <w:t xml:space="preserve"> лития.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i/>
          <w:color w:val="000000"/>
        </w:rPr>
        <w:t>Гибкий катод на основе сульфида меди (</w:t>
      </w:r>
      <w:proofErr w:type="spellStart"/>
      <w:r>
        <w:rPr>
          <w:i/>
          <w:color w:val="000000"/>
        </w:rPr>
        <w:t>CuS</w:t>
      </w:r>
      <w:proofErr w:type="spellEnd"/>
      <w:r>
        <w:rPr>
          <w:i/>
          <w:color w:val="000000"/>
        </w:rPr>
        <w:t>) покрытый углеродом.</w:t>
      </w:r>
      <w:r>
        <w:rPr>
          <w:color w:val="000000"/>
        </w:rPr>
        <w:t xml:space="preserve">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Покрытие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пленки на </w:t>
      </w:r>
      <w:proofErr w:type="spellStart"/>
      <w:r>
        <w:rPr>
          <w:color w:val="000000"/>
        </w:rPr>
        <w:t>Cu</w:t>
      </w:r>
      <w:proofErr w:type="spellEnd"/>
      <w:r>
        <w:rPr>
          <w:color w:val="000000"/>
        </w:rPr>
        <w:t xml:space="preserve"> пене углеродом проходила в РФ-магнетронном распылителе (</w:t>
      </w:r>
      <w:proofErr w:type="spellStart"/>
      <w:r>
        <w:rPr>
          <w:color w:val="000000"/>
        </w:rPr>
        <w:t>Armstrong</w:t>
      </w:r>
      <w:proofErr w:type="spellEnd"/>
      <w:r>
        <w:rPr>
          <w:color w:val="000000"/>
        </w:rPr>
        <w:t xml:space="preserve">) при условиях  толщины покрытия 20 </w:t>
      </w:r>
      <w:proofErr w:type="spellStart"/>
      <w:r>
        <w:rPr>
          <w:color w:val="000000"/>
        </w:rPr>
        <w:t>нм</w:t>
      </w:r>
      <w:proofErr w:type="spellEnd"/>
      <w:r>
        <w:rPr>
          <w:color w:val="000000"/>
        </w:rPr>
        <w:t>, где выходная сила составляла 20%. Основной характеристикой РФ-магнетронного распыления является вклад энергии в растущую пленку. На свойства пленок, осажденных распылением с помощью РФ-магнетрона, сильно влияет бомбардировка растущей пленки частицами из мишени (</w:t>
      </w:r>
      <w:proofErr w:type="spellStart"/>
      <w:r>
        <w:rPr>
          <w:color w:val="000000"/>
        </w:rPr>
        <w:t>таргета</w:t>
      </w:r>
      <w:proofErr w:type="spellEnd"/>
      <w:r>
        <w:rPr>
          <w:color w:val="000000"/>
        </w:rPr>
        <w:t xml:space="preserve">) для распыления из плазмы. В нашем случаем, </w:t>
      </w:r>
      <w:proofErr w:type="spellStart"/>
      <w:r>
        <w:rPr>
          <w:color w:val="000000"/>
        </w:rPr>
        <w:t>таргетом</w:t>
      </w:r>
      <w:proofErr w:type="spellEnd"/>
      <w:r>
        <w:rPr>
          <w:color w:val="000000"/>
        </w:rPr>
        <w:t xml:space="preserve"> был графит (углерод), который был насажден на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пленку для улучшения ее электрохимических свойств с помощью покрытия. После того как образец был помещен в распылитель, сначала происходит вакуумная откачка за 15 мин. После чего начинается распыление углерода. Время распыления зависит от природы </w:t>
      </w:r>
      <w:proofErr w:type="spellStart"/>
      <w:r>
        <w:rPr>
          <w:color w:val="000000"/>
        </w:rPr>
        <w:t>таргета</w:t>
      </w:r>
      <w:proofErr w:type="spellEnd"/>
      <w:r>
        <w:rPr>
          <w:color w:val="000000"/>
        </w:rPr>
        <w:t xml:space="preserve"> и толщины покрытия. Максимальная выходная сила для углерода составляет около 30 %, вследствие чего время распыления 20 </w:t>
      </w:r>
      <w:proofErr w:type="spellStart"/>
      <w:r>
        <w:rPr>
          <w:color w:val="000000"/>
        </w:rPr>
        <w:t>нм</w:t>
      </w:r>
      <w:proofErr w:type="spellEnd"/>
      <w:r>
        <w:rPr>
          <w:color w:val="000000"/>
        </w:rPr>
        <w:t xml:space="preserve"> составила около 6 ч. После окончания насаждения, толщина покрытия была измерена с помощью профилометра. </w:t>
      </w: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Опираясь на рисунок 25, можно легко заметить, что полученная тонкая пленка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на медной пене с углеродным покрытием показывает хорошие механические свойства. Подвергаясь механическим деформациям, структура пленки не разрушается, во время отсутствия деформаций возвращается в свое изначальное состояние. </w:t>
      </w: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F868D6" w:rsidP="00DE65E1">
      <w:pPr>
        <w:spacing w:line="360" w:lineRule="auto"/>
        <w:jc w:val="center"/>
        <w:rPr>
          <w:color w:val="000000"/>
        </w:rPr>
      </w:pP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426959" cy="2704783"/>
            <wp:effectExtent l="0" t="0" r="0" b="0"/>
            <wp:docPr id="1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6959" cy="2704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65E1" w:rsidRDefault="00DE65E1" w:rsidP="00DE65E1">
      <w:pPr>
        <w:ind w:firstLine="720"/>
        <w:jc w:val="center"/>
        <w:rPr>
          <w:color w:val="000000"/>
        </w:rPr>
      </w:pPr>
    </w:p>
    <w:p w:rsidR="008925E4" w:rsidRDefault="008925E4" w:rsidP="008925E4">
      <w:pPr>
        <w:ind w:firstLine="720"/>
        <w:rPr>
          <w:color w:val="000000"/>
        </w:rPr>
      </w:pPr>
      <w:r>
        <w:rPr>
          <w:color w:val="000000"/>
        </w:rPr>
        <w:t xml:space="preserve">а –  гибкая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пленка на медной пене с углеродным покрытием в обычном состоянии</w:t>
      </w:r>
      <w:r w:rsidRPr="005B56FA">
        <w:rPr>
          <w:color w:val="000000"/>
        </w:rPr>
        <w:t>;</w:t>
      </w:r>
      <w:r>
        <w:rPr>
          <w:color w:val="000000"/>
        </w:rPr>
        <w:t xml:space="preserve"> б –гибкая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пленка  на медной пене с углеродным покрытием во время механической деформации</w:t>
      </w:r>
    </w:p>
    <w:p w:rsidR="008925E4" w:rsidRDefault="008925E4" w:rsidP="008925E4">
      <w:pPr>
        <w:jc w:val="center"/>
        <w:rPr>
          <w:color w:val="000000"/>
        </w:rPr>
      </w:pPr>
      <w:r>
        <w:rPr>
          <w:color w:val="000000"/>
        </w:rPr>
        <w:t xml:space="preserve">Рисунок 25 – Фото изображения </w:t>
      </w:r>
    </w:p>
    <w:p w:rsidR="00014B06" w:rsidRDefault="00014B06" w:rsidP="00DE65E1">
      <w:pPr>
        <w:spacing w:line="360" w:lineRule="auto"/>
        <w:jc w:val="center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Согласно полученным результатам СЭМ, углеродное покрытие не разрушило изначальную структуру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пленки, которая имеет структуру похожую на цветочки. Так как толщина покрытия была очень тонкой и более того углерод имеет высокую проводимость, микроскоп не показал наличия видимого для глаз покрытия. Такое покрытие в нанометрах благоприятно влияет на сохранение изначальной уникальной структуры полученной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пленки  (рисунок 26). </w:t>
      </w:r>
    </w:p>
    <w:p w:rsidR="0050656A" w:rsidRDefault="00F868D6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 </w:t>
      </w:r>
      <w:r>
        <w:rPr>
          <w:noProof/>
          <w:color w:val="000000"/>
          <w:lang w:val="en-US" w:eastAsia="en-US"/>
        </w:rPr>
        <w:drawing>
          <wp:inline distT="114300" distB="114300" distL="114300" distR="114300">
            <wp:extent cx="5940115" cy="2197100"/>
            <wp:effectExtent l="0" t="0" r="0" b="0"/>
            <wp:docPr id="20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219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65E1" w:rsidRDefault="00DE65E1" w:rsidP="00DE65E1">
      <w:pPr>
        <w:tabs>
          <w:tab w:val="left" w:pos="804"/>
        </w:tabs>
        <w:ind w:firstLine="720"/>
        <w:jc w:val="center"/>
        <w:rPr>
          <w:color w:val="000000"/>
        </w:rPr>
      </w:pPr>
    </w:p>
    <w:p w:rsidR="008925E4" w:rsidRDefault="008925E4" w:rsidP="008925E4">
      <w:pPr>
        <w:tabs>
          <w:tab w:val="left" w:pos="804"/>
        </w:tabs>
        <w:ind w:firstLine="720"/>
        <w:jc w:val="both"/>
        <w:rPr>
          <w:color w:val="000000"/>
        </w:rPr>
      </w:pPr>
      <w:r>
        <w:rPr>
          <w:color w:val="000000"/>
        </w:rPr>
        <w:t xml:space="preserve">а – гибкая пленка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покрытая углеродом с увеличением в 10 мкм</w:t>
      </w:r>
      <w:r w:rsidRPr="005B56FA">
        <w:rPr>
          <w:color w:val="000000"/>
        </w:rPr>
        <w:t>;</w:t>
      </w:r>
      <w:r>
        <w:rPr>
          <w:color w:val="000000"/>
        </w:rPr>
        <w:t xml:space="preserve"> б –гибкая пленка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покрытая углеродом с увеличением в 1 мкм (20 </w:t>
      </w:r>
      <w:proofErr w:type="spellStart"/>
      <w:r>
        <w:rPr>
          <w:color w:val="000000"/>
        </w:rPr>
        <w:t>нм</w:t>
      </w:r>
      <w:proofErr w:type="spellEnd"/>
      <w:r>
        <w:rPr>
          <w:color w:val="000000"/>
        </w:rPr>
        <w:t>)</w:t>
      </w:r>
    </w:p>
    <w:p w:rsidR="008925E4" w:rsidRDefault="008925E4" w:rsidP="008925E4">
      <w:pPr>
        <w:tabs>
          <w:tab w:val="left" w:pos="804"/>
        </w:tabs>
        <w:ind w:firstLine="720"/>
        <w:jc w:val="center"/>
        <w:rPr>
          <w:color w:val="000000"/>
        </w:rPr>
      </w:pPr>
      <w:r>
        <w:rPr>
          <w:color w:val="000000"/>
        </w:rPr>
        <w:t>Рисунок 26 – СЭМ-изображения</w:t>
      </w:r>
    </w:p>
    <w:p w:rsidR="00716975" w:rsidRDefault="00716975" w:rsidP="00DE65E1">
      <w:pPr>
        <w:tabs>
          <w:tab w:val="left" w:pos="804"/>
        </w:tabs>
        <w:ind w:firstLine="720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lastRenderedPageBreak/>
        <w:t>Переходя к электрохимическим свойствам полученног</w:t>
      </w:r>
      <w:r w:rsidR="00014B06">
        <w:rPr>
          <w:color w:val="000000"/>
        </w:rPr>
        <w:t xml:space="preserve">о гибкого электрода, </w:t>
      </w:r>
      <w:proofErr w:type="spellStart"/>
      <w:r w:rsidR="00014B06">
        <w:rPr>
          <w:color w:val="000000"/>
        </w:rPr>
        <w:t>CuS</w:t>
      </w:r>
      <w:proofErr w:type="spellEnd"/>
      <w:r w:rsidR="00014B06">
        <w:rPr>
          <w:color w:val="000000"/>
        </w:rPr>
        <w:t xml:space="preserve"> пленка</w:t>
      </w:r>
      <w:r>
        <w:rPr>
          <w:color w:val="000000"/>
        </w:rPr>
        <w:t xml:space="preserve"> на медной пене с углеродным покрытием электрод показывает хорошую удельную емкость. Согласно рисунку 27, можно сделать выводы, что в течение первого цикла аккумулятор показал удельную емкость 990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, после чего во втором цикле произошел спад до 970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. После двух циклов можно заметить, что гибкий электродный материал показывает стабильную емкость (примерно 970 </w:t>
      </w:r>
      <w:proofErr w:type="spellStart"/>
      <w:r>
        <w:rPr>
          <w:color w:val="000000"/>
        </w:rPr>
        <w:t>мАч</w:t>
      </w:r>
      <w:proofErr w:type="spellEnd"/>
      <w:r>
        <w:rPr>
          <w:color w:val="000000"/>
        </w:rPr>
        <w:t xml:space="preserve"> г</w:t>
      </w:r>
      <w:r>
        <w:rPr>
          <w:color w:val="000000"/>
          <w:vertAlign w:val="superscript"/>
        </w:rPr>
        <w:t>–1</w:t>
      </w:r>
      <w:r>
        <w:rPr>
          <w:color w:val="000000"/>
        </w:rPr>
        <w:t xml:space="preserve">), которая продолжает стабильно работать (14 циклов). Хорошая стабильность электрода объясняется за счет углеродного покрытия, которая предотвращает растворение и образование </w:t>
      </w:r>
      <w:proofErr w:type="spellStart"/>
      <w:r>
        <w:rPr>
          <w:color w:val="000000"/>
        </w:rPr>
        <w:t>полисульфидов</w:t>
      </w:r>
      <w:proofErr w:type="spellEnd"/>
      <w:r>
        <w:rPr>
          <w:color w:val="000000"/>
        </w:rPr>
        <w:t xml:space="preserve">, что значительно влияет на электрохимическую работоспособность аккумулятора. </w:t>
      </w:r>
    </w:p>
    <w:p w:rsidR="0050656A" w:rsidRDefault="0050656A" w:rsidP="00DE65E1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</w:p>
    <w:p w:rsidR="0050656A" w:rsidRDefault="009F02E8" w:rsidP="00DE65E1">
      <w:pPr>
        <w:tabs>
          <w:tab w:val="left" w:pos="804"/>
        </w:tabs>
        <w:spacing w:line="360" w:lineRule="auto"/>
        <w:jc w:val="center"/>
        <w:rPr>
          <w:color w:val="000000"/>
          <w:sz w:val="44"/>
          <w:szCs w:val="44"/>
        </w:rPr>
      </w:pPr>
      <w:r>
        <w:rPr>
          <w:noProof/>
          <w:color w:val="000000"/>
          <w:sz w:val="44"/>
          <w:szCs w:val="44"/>
          <w:bdr w:val="none" w:sz="0" w:space="0" w:color="auto" w:frame="1"/>
          <w:lang w:val="en-US" w:eastAsia="en-US"/>
        </w:rPr>
        <w:drawing>
          <wp:inline distT="0" distB="0" distL="0" distR="0">
            <wp:extent cx="5940425" cy="2398749"/>
            <wp:effectExtent l="0" t="0" r="3175" b="1905"/>
            <wp:docPr id="36" name="Picture 36" descr="https://lh6.googleusercontent.com/Lx_JRVYjRKur4o1wg7vcaSesM3lX12naHBPXXQ2nkkdUUg_gLtxQLWOPGYIQJkSYufWb5i9badkDG7lfxl09TemSCf_d2vSbWc43JUdrdt3EFY8yWjJcaLIl1oKbPFaYIW6Sj0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Lx_JRVYjRKur4o1wg7vcaSesM3lX12naHBPXXQ2nkkdUUg_gLtxQLWOPGYIQJkSYufWb5i9badkDG7lfxl09TemSCf_d2vSbWc43JUdrdt3EFY8yWjJcaLIl1oKbPFaYIW6Sj0hi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9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5E4" w:rsidRDefault="008925E4" w:rsidP="008925E4">
      <w:pPr>
        <w:tabs>
          <w:tab w:val="left" w:pos="804"/>
        </w:tabs>
        <w:ind w:firstLine="709"/>
        <w:jc w:val="both"/>
        <w:rPr>
          <w:color w:val="000000"/>
        </w:rPr>
      </w:pPr>
      <w:r>
        <w:rPr>
          <w:color w:val="000000"/>
        </w:rPr>
        <w:t>а – электрохимический заряд-разряд</w:t>
      </w:r>
      <w:r w:rsidRPr="005B56FA">
        <w:rPr>
          <w:color w:val="000000"/>
        </w:rPr>
        <w:t xml:space="preserve">; </w:t>
      </w:r>
      <w:r>
        <w:rPr>
          <w:color w:val="000000"/>
        </w:rPr>
        <w:t xml:space="preserve">б – </w:t>
      </w:r>
      <w:r w:rsidRPr="000F751D">
        <w:rPr>
          <w:color w:val="000000"/>
        </w:rPr>
        <w:t xml:space="preserve">циклические </w:t>
      </w:r>
      <w:proofErr w:type="spellStart"/>
      <w:r w:rsidRPr="000F751D">
        <w:rPr>
          <w:color w:val="000000"/>
        </w:rPr>
        <w:t>характеристи</w:t>
      </w:r>
      <w:proofErr w:type="spellEnd"/>
      <w:r w:rsidRPr="000F751D">
        <w:rPr>
          <w:color w:val="000000"/>
        </w:rPr>
        <w:t xml:space="preserve"> и Кулоновской эффективность</w:t>
      </w:r>
      <w:r>
        <w:rPr>
          <w:color w:val="000000"/>
        </w:rPr>
        <w:t xml:space="preserve"> </w:t>
      </w:r>
    </w:p>
    <w:p w:rsidR="008925E4" w:rsidRDefault="008925E4" w:rsidP="008925E4">
      <w:pPr>
        <w:tabs>
          <w:tab w:val="left" w:pos="804"/>
        </w:tabs>
        <w:ind w:firstLine="709"/>
        <w:jc w:val="center"/>
        <w:rPr>
          <w:color w:val="000000"/>
        </w:rPr>
      </w:pPr>
      <w:r>
        <w:rPr>
          <w:color w:val="000000"/>
        </w:rPr>
        <w:t xml:space="preserve">Рисунок 27 – Электрохимические показатели пленки 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 покрытого углеродом на медной пене</w:t>
      </w: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F868D6" w:rsidP="00DE65E1">
      <w:pPr>
        <w:tabs>
          <w:tab w:val="left" w:pos="804"/>
        </w:tabs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Основываясь на полученных результатах, мы можем отметить синтез и тестирование первоначальных образцов гибких катодных материалов на основе серы и сульфида меди (S/</w:t>
      </w:r>
      <w:proofErr w:type="spellStart"/>
      <w:r>
        <w:rPr>
          <w:color w:val="000000"/>
        </w:rPr>
        <w:t>CuS</w:t>
      </w:r>
      <w:proofErr w:type="spellEnd"/>
      <w:r>
        <w:rPr>
          <w:color w:val="000000"/>
        </w:rPr>
        <w:t xml:space="preserve">) с хорошими механическими и электрохимическими свойствами. Также гибкие структуры катодов были подтверждены механической деформации, где приготовленные пленки на основе </w:t>
      </w:r>
      <w:proofErr w:type="spellStart"/>
      <w:r>
        <w:rPr>
          <w:color w:val="000000"/>
        </w:rPr>
        <w:t>графена</w:t>
      </w:r>
      <w:proofErr w:type="spellEnd"/>
      <w:r>
        <w:rPr>
          <w:color w:val="000000"/>
        </w:rPr>
        <w:t xml:space="preserve"> покрытого ПДМС и медной пены возвращались на изначальное положение после тестирования на гибкость. </w:t>
      </w: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50656A" w:rsidP="00DE65E1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50656A" w:rsidRDefault="008722C7" w:rsidP="00DE65E1">
      <w:pPr>
        <w:spacing w:line="360" w:lineRule="auto"/>
        <w:rPr>
          <w:color w:val="000000"/>
        </w:rPr>
      </w:pPr>
      <w:r>
        <w:rPr>
          <w:color w:val="000000"/>
        </w:rPr>
        <w:br w:type="page"/>
      </w:r>
    </w:p>
    <w:p w:rsidR="0050656A" w:rsidRDefault="00F868D6" w:rsidP="00DE65E1">
      <w:pPr>
        <w:tabs>
          <w:tab w:val="left" w:pos="567"/>
          <w:tab w:val="left" w:pos="804"/>
        </w:tabs>
        <w:spacing w:line="360" w:lineRule="auto"/>
        <w:ind w:firstLine="360"/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ЗАКЛЮЧЕНИЕ</w:t>
      </w:r>
    </w:p>
    <w:p w:rsidR="0050656A" w:rsidRDefault="0050656A" w:rsidP="00DE65E1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50656A" w:rsidRDefault="00F868D6" w:rsidP="00DE65E1">
      <w:pPr>
        <w:tabs>
          <w:tab w:val="left" w:pos="0"/>
          <w:tab w:val="left" w:pos="567"/>
        </w:tabs>
        <w:spacing w:line="360" w:lineRule="auto"/>
        <w:ind w:firstLine="720"/>
        <w:jc w:val="both"/>
        <w:rPr>
          <w:color w:val="000000"/>
        </w:rPr>
      </w:pPr>
      <w:r>
        <w:t xml:space="preserve">В 2020 г. был проведен интенсивный литературный обзор по тематике трибоэлектрических материалов и гибких катодных материалов, путей их синтезирования и тестирования. Экспериментально получены предварительные образцы ТЭНГ пар материалов, были связаны ТЭНГ текстили нескольких вариантов. Исследованы показатели электрического выхода полученных ТЭНГ текстилей. Параллельно проводились работы по получению гибкого литий-ионного </w:t>
      </w:r>
      <w:r>
        <w:rPr>
          <w:color w:val="000000"/>
        </w:rPr>
        <w:t>аккумулятора</w:t>
      </w:r>
      <w:r>
        <w:t xml:space="preserve">, в частности, гибкие катодные материалы на основе серы и </w:t>
      </w:r>
      <w:r>
        <w:rPr>
          <w:color w:val="000000"/>
        </w:rPr>
        <w:t>сульфида меди</w:t>
      </w:r>
      <w:r>
        <w:t xml:space="preserve"> (S/</w:t>
      </w:r>
      <w:proofErr w:type="spellStart"/>
      <w:r>
        <w:t>CuS</w:t>
      </w:r>
      <w:proofErr w:type="spellEnd"/>
      <w:r>
        <w:t xml:space="preserve">) были приготовлены. В ходе исследовании был получен гибкий </w:t>
      </w:r>
      <w:proofErr w:type="spellStart"/>
      <w:r>
        <w:t>графеновый</w:t>
      </w:r>
      <w:proofErr w:type="spellEnd"/>
      <w:r>
        <w:t xml:space="preserve"> токоприемник с ПДМС покрытием и последовательно насаждением серы в качестве активного электрода. Также гибкие </w:t>
      </w:r>
      <w:proofErr w:type="spellStart"/>
      <w:r>
        <w:t>CuS</w:t>
      </w:r>
      <w:proofErr w:type="spellEnd"/>
      <w:r>
        <w:t xml:space="preserve"> пленки на медной пене были получены с отличными электрохимическими показателями. </w:t>
      </w:r>
    </w:p>
    <w:p w:rsidR="0050656A" w:rsidRDefault="00F868D6" w:rsidP="00DE65E1">
      <w:pPr>
        <w:tabs>
          <w:tab w:val="left" w:pos="0"/>
          <w:tab w:val="left" w:pos="567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В результате проведенной в этом году работы две работы была опубликованы в международном рейтинговом реферируемом журнале с индексацией в </w:t>
      </w:r>
      <w:proofErr w:type="spellStart"/>
      <w:r>
        <w:rPr>
          <w:color w:val="000000"/>
        </w:rPr>
        <w:t>Scopus</w:t>
      </w:r>
      <w:proofErr w:type="spellEnd"/>
      <w:r>
        <w:rPr>
          <w:color w:val="000000"/>
        </w:rPr>
        <w:t xml:space="preserve"> и </w:t>
      </w:r>
      <w:proofErr w:type="spellStart"/>
      <w:r>
        <w:rPr>
          <w:color w:val="000000"/>
        </w:rPr>
        <w:t>Web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Science</w:t>
      </w:r>
      <w:proofErr w:type="spellEnd"/>
      <w:r>
        <w:rPr>
          <w:color w:val="000000"/>
        </w:rPr>
        <w:t xml:space="preserve"> с </w:t>
      </w:r>
      <w:proofErr w:type="spellStart"/>
      <w:r>
        <w:rPr>
          <w:color w:val="000000"/>
        </w:rPr>
        <w:t>импакт</w:t>
      </w:r>
      <w:proofErr w:type="spellEnd"/>
      <w:r>
        <w:rPr>
          <w:color w:val="000000"/>
        </w:rPr>
        <w:t>-фактором выше 2:</w:t>
      </w:r>
    </w:p>
    <w:p w:rsidR="0050656A" w:rsidRPr="008A40EC" w:rsidRDefault="00F868D6" w:rsidP="00DE65E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567"/>
          <w:tab w:val="left" w:pos="900"/>
          <w:tab w:val="left" w:pos="1080"/>
        </w:tabs>
        <w:spacing w:line="360" w:lineRule="auto"/>
        <w:jc w:val="both"/>
        <w:rPr>
          <w:color w:val="000000"/>
          <w:lang w:val="en-US"/>
        </w:rPr>
      </w:pPr>
      <w:proofErr w:type="spellStart"/>
      <w:r w:rsidRPr="008A40EC">
        <w:rPr>
          <w:color w:val="000000"/>
          <w:lang w:val="en-US"/>
        </w:rPr>
        <w:t>Adylkhanova</w:t>
      </w:r>
      <w:proofErr w:type="spellEnd"/>
      <w:r w:rsidRPr="008A40EC">
        <w:rPr>
          <w:color w:val="000000"/>
          <w:lang w:val="en-US"/>
        </w:rPr>
        <w:t xml:space="preserve"> A.</w:t>
      </w:r>
      <w:r w:rsidRPr="008A40EC">
        <w:rPr>
          <w:rFonts w:eastAsia="Times New Roman"/>
          <w:color w:val="000000"/>
          <w:lang w:val="en-US"/>
        </w:rPr>
        <w:t xml:space="preserve">, </w:t>
      </w:r>
      <w:proofErr w:type="spellStart"/>
      <w:r w:rsidRPr="008A40EC">
        <w:rPr>
          <w:rFonts w:eastAsia="Times New Roman"/>
          <w:color w:val="000000"/>
          <w:lang w:val="en-US"/>
        </w:rPr>
        <w:t>Nurpeissova</w:t>
      </w:r>
      <w:proofErr w:type="spellEnd"/>
      <w:r w:rsidRPr="008A40EC">
        <w:rPr>
          <w:rFonts w:eastAsia="Times New Roman"/>
          <w:color w:val="000000"/>
          <w:lang w:val="en-US"/>
        </w:rPr>
        <w:t xml:space="preserve"> A.</w:t>
      </w:r>
      <w:r w:rsidRPr="008A40EC">
        <w:rPr>
          <w:color w:val="000000"/>
          <w:lang w:val="en-US"/>
        </w:rPr>
        <w:t xml:space="preserve">, Adair D., Taniguchi I., </w:t>
      </w:r>
      <w:proofErr w:type="spellStart"/>
      <w:r w:rsidRPr="008A40EC">
        <w:rPr>
          <w:color w:val="000000"/>
          <w:lang w:val="en-US"/>
        </w:rPr>
        <w:t>Bakenov</w:t>
      </w:r>
      <w:proofErr w:type="spellEnd"/>
      <w:r w:rsidRPr="008A40EC">
        <w:rPr>
          <w:color w:val="000000"/>
          <w:lang w:val="en-US"/>
        </w:rPr>
        <w:t xml:space="preserve"> Z., </w:t>
      </w:r>
      <w:proofErr w:type="spellStart"/>
      <w:r w:rsidRPr="008A40EC">
        <w:rPr>
          <w:color w:val="000000"/>
          <w:lang w:val="en-US"/>
        </w:rPr>
        <w:t>Kalimuldina</w:t>
      </w:r>
      <w:proofErr w:type="spellEnd"/>
      <w:r w:rsidRPr="008A40EC">
        <w:rPr>
          <w:color w:val="000000"/>
          <w:lang w:val="en-US"/>
        </w:rPr>
        <w:t xml:space="preserve"> G.</w:t>
      </w:r>
      <w:r w:rsidRPr="008A40EC">
        <w:rPr>
          <w:rFonts w:eastAsia="Times New Roman"/>
          <w:color w:val="000000"/>
          <w:lang w:val="en-US"/>
        </w:rPr>
        <w:t xml:space="preserve"> </w:t>
      </w:r>
      <w:r w:rsidRPr="008A40EC">
        <w:rPr>
          <w:color w:val="000000"/>
          <w:lang w:val="en-US"/>
        </w:rPr>
        <w:t xml:space="preserve">Facile synthesis of binder-free three-dimensional </w:t>
      </w:r>
      <w:proofErr w:type="spellStart"/>
      <w:r w:rsidRPr="008A40EC">
        <w:rPr>
          <w:color w:val="000000"/>
          <w:lang w:val="en-US"/>
        </w:rPr>
        <w:t>CuxS</w:t>
      </w:r>
      <w:proofErr w:type="spellEnd"/>
      <w:r w:rsidRPr="008A40EC">
        <w:rPr>
          <w:color w:val="000000"/>
          <w:lang w:val="en-US"/>
        </w:rPr>
        <w:t xml:space="preserve"> nanoflowers for lithium batteries</w:t>
      </w:r>
      <w:r w:rsidRPr="008A40EC">
        <w:rPr>
          <w:rFonts w:eastAsia="Times New Roman"/>
          <w:color w:val="000000"/>
          <w:lang w:val="en-US"/>
        </w:rPr>
        <w:t xml:space="preserve">. // </w:t>
      </w:r>
      <w:r w:rsidRPr="008A40EC">
        <w:rPr>
          <w:color w:val="000000"/>
          <w:lang w:val="en-US"/>
        </w:rPr>
        <w:t>Frontiers in Energy Research</w:t>
      </w:r>
      <w:r w:rsidRPr="008A40EC">
        <w:rPr>
          <w:rFonts w:eastAsia="Times New Roman"/>
          <w:color w:val="000000"/>
          <w:lang w:val="en-US"/>
        </w:rPr>
        <w:t>. – 20</w:t>
      </w:r>
      <w:r w:rsidRPr="008A40EC">
        <w:rPr>
          <w:color w:val="000000"/>
          <w:lang w:val="en-US"/>
        </w:rPr>
        <w:t>20</w:t>
      </w:r>
      <w:r w:rsidRPr="008A40EC">
        <w:rPr>
          <w:rFonts w:eastAsia="Times New Roman"/>
          <w:color w:val="000000"/>
          <w:lang w:val="en-US"/>
        </w:rPr>
        <w:t xml:space="preserve">. / </w:t>
      </w:r>
      <w:proofErr w:type="spellStart"/>
      <w:r w:rsidRPr="008A40EC">
        <w:rPr>
          <w:color w:val="000000"/>
          <w:lang w:val="en-US"/>
        </w:rPr>
        <w:t>doi</w:t>
      </w:r>
      <w:proofErr w:type="spellEnd"/>
      <w:r w:rsidRPr="008A40EC">
        <w:rPr>
          <w:color w:val="000000"/>
          <w:lang w:val="en-US"/>
        </w:rPr>
        <w:t>: 10.3389/fenrg.2020.00154</w:t>
      </w:r>
      <w:r w:rsidRPr="008A40EC">
        <w:rPr>
          <w:rFonts w:eastAsia="Times New Roman"/>
          <w:color w:val="000000"/>
          <w:lang w:val="en-US"/>
        </w:rPr>
        <w:t>.</w:t>
      </w:r>
    </w:p>
    <w:p w:rsidR="0050656A" w:rsidRPr="008A40EC" w:rsidRDefault="00F868D6" w:rsidP="00DE65E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567"/>
          <w:tab w:val="left" w:pos="900"/>
          <w:tab w:val="left" w:pos="1080"/>
        </w:tabs>
        <w:spacing w:line="360" w:lineRule="auto"/>
        <w:jc w:val="both"/>
        <w:rPr>
          <w:color w:val="000000"/>
          <w:lang w:val="en-US"/>
        </w:rPr>
      </w:pPr>
      <w:proofErr w:type="spellStart"/>
      <w:r w:rsidRPr="008A40EC">
        <w:rPr>
          <w:color w:val="000000"/>
          <w:lang w:val="en-US"/>
        </w:rPr>
        <w:t>Kalimuldina</w:t>
      </w:r>
      <w:proofErr w:type="spellEnd"/>
      <w:r w:rsidRPr="008A40EC">
        <w:rPr>
          <w:color w:val="000000"/>
          <w:lang w:val="en-US"/>
        </w:rPr>
        <w:t xml:space="preserve"> G., </w:t>
      </w:r>
      <w:proofErr w:type="spellStart"/>
      <w:r w:rsidRPr="008A40EC">
        <w:rPr>
          <w:color w:val="000000"/>
          <w:lang w:val="en-US"/>
        </w:rPr>
        <w:t>Turdakyn</w:t>
      </w:r>
      <w:proofErr w:type="spellEnd"/>
      <w:r w:rsidRPr="008A40EC">
        <w:rPr>
          <w:color w:val="000000"/>
          <w:lang w:val="en-US"/>
        </w:rPr>
        <w:t xml:space="preserve"> N., </w:t>
      </w:r>
      <w:proofErr w:type="spellStart"/>
      <w:r w:rsidRPr="008A40EC">
        <w:rPr>
          <w:color w:val="000000"/>
          <w:lang w:val="en-US"/>
        </w:rPr>
        <w:t>Abay</w:t>
      </w:r>
      <w:proofErr w:type="spellEnd"/>
      <w:r w:rsidRPr="008A40EC">
        <w:rPr>
          <w:color w:val="000000"/>
          <w:lang w:val="en-US"/>
        </w:rPr>
        <w:t xml:space="preserve"> I., </w:t>
      </w:r>
      <w:proofErr w:type="spellStart"/>
      <w:r w:rsidRPr="008A40EC">
        <w:rPr>
          <w:color w:val="000000"/>
          <w:lang w:val="en-US"/>
        </w:rPr>
        <w:t>Medeubayev</w:t>
      </w:r>
      <w:proofErr w:type="spellEnd"/>
      <w:r w:rsidRPr="008A40EC">
        <w:rPr>
          <w:color w:val="000000"/>
          <w:lang w:val="en-US"/>
        </w:rPr>
        <w:t xml:space="preserve"> A., </w:t>
      </w:r>
      <w:proofErr w:type="spellStart"/>
      <w:r w:rsidRPr="008A40EC">
        <w:rPr>
          <w:color w:val="000000"/>
          <w:lang w:val="en-US"/>
        </w:rPr>
        <w:t>Nurpeissova</w:t>
      </w:r>
      <w:proofErr w:type="spellEnd"/>
      <w:r w:rsidRPr="008A40EC">
        <w:rPr>
          <w:color w:val="000000"/>
          <w:lang w:val="en-US"/>
        </w:rPr>
        <w:t xml:space="preserve"> A., Adair D., </w:t>
      </w:r>
      <w:proofErr w:type="spellStart"/>
      <w:r w:rsidRPr="008A40EC">
        <w:rPr>
          <w:color w:val="000000"/>
          <w:lang w:val="en-US"/>
        </w:rPr>
        <w:t>Bakenov</w:t>
      </w:r>
      <w:proofErr w:type="spellEnd"/>
      <w:r w:rsidRPr="008A40EC">
        <w:rPr>
          <w:color w:val="000000"/>
          <w:lang w:val="en-US"/>
        </w:rPr>
        <w:t xml:space="preserve"> Z. A review of piezoelectric PVDF film by electrospinning and its applications. // Sensor. - 2020. / doi:10.3390/s20185214.</w:t>
      </w:r>
    </w:p>
    <w:p w:rsidR="0050656A" w:rsidRPr="008A40EC" w:rsidRDefault="0050656A" w:rsidP="00DE65E1">
      <w:pPr>
        <w:tabs>
          <w:tab w:val="left" w:pos="0"/>
          <w:tab w:val="left" w:pos="567"/>
        </w:tabs>
        <w:spacing w:line="360" w:lineRule="auto"/>
        <w:jc w:val="both"/>
        <w:rPr>
          <w:color w:val="000000"/>
          <w:lang w:val="en-US"/>
        </w:rPr>
      </w:pPr>
    </w:p>
    <w:p w:rsidR="0050656A" w:rsidRPr="00A4756F" w:rsidRDefault="008722C7" w:rsidP="00DE65E1">
      <w:pPr>
        <w:spacing w:line="360" w:lineRule="auto"/>
        <w:rPr>
          <w:color w:val="000000"/>
          <w:lang w:val="en-US"/>
        </w:rPr>
      </w:pPr>
      <w:r>
        <w:rPr>
          <w:color w:val="000000"/>
          <w:lang w:val="en-US"/>
        </w:rPr>
        <w:br w:type="page"/>
      </w:r>
    </w:p>
    <w:p w:rsidR="0050656A" w:rsidRDefault="00F868D6" w:rsidP="00DE65E1">
      <w:pPr>
        <w:tabs>
          <w:tab w:val="left" w:pos="284"/>
        </w:tabs>
        <w:spacing w:line="360" w:lineRule="auto"/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СПИСОК ИСПОЛЬЗОВАННЫХ ИСТОЧНИКОВ</w:t>
      </w:r>
    </w:p>
    <w:p w:rsidR="0050656A" w:rsidRDefault="0050656A" w:rsidP="00DE65E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highlight w:val="yellow"/>
        </w:rPr>
      </w:pPr>
    </w:p>
    <w:p w:rsidR="0050656A" w:rsidRPr="008A40EC" w:rsidRDefault="00F868D6" w:rsidP="00DE65E1">
      <w:pPr>
        <w:spacing w:line="360" w:lineRule="auto"/>
        <w:jc w:val="both"/>
        <w:rPr>
          <w:lang w:val="en-US"/>
        </w:rPr>
      </w:pPr>
      <w:r>
        <w:tab/>
        <w:t xml:space="preserve">1 </w:t>
      </w:r>
      <w:proofErr w:type="spellStart"/>
      <w:r>
        <w:t>Dharmasena</w:t>
      </w:r>
      <w:proofErr w:type="spellEnd"/>
      <w:r>
        <w:t xml:space="preserve"> R.D.I.G., </w:t>
      </w:r>
      <w:proofErr w:type="spellStart"/>
      <w:r>
        <w:t>et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. </w:t>
      </w:r>
      <w:r w:rsidRPr="008A40EC">
        <w:rPr>
          <w:lang w:val="en-US"/>
        </w:rPr>
        <w:t>Towards optimized triboelectric nanogenerators // Nano Energy. – 2019. – Vol. 62. – P. 530-549.</w:t>
      </w:r>
    </w:p>
    <w:p w:rsidR="0050656A" w:rsidRPr="008A40EC" w:rsidRDefault="00F868D6" w:rsidP="00DE65E1">
      <w:pPr>
        <w:spacing w:line="360" w:lineRule="auto"/>
        <w:jc w:val="both"/>
        <w:rPr>
          <w:highlight w:val="yellow"/>
          <w:lang w:val="en-US"/>
        </w:rPr>
      </w:pPr>
      <w:r w:rsidRPr="008A40EC">
        <w:rPr>
          <w:lang w:val="en-US"/>
        </w:rPr>
        <w:tab/>
        <w:t>2 Zhang X.S., et al. All-in-one self-powered flexible microsystems based on triboelectric nanogenerators // Nano Energy. – 2019. – Vol. 47. – P. 410-426.</w:t>
      </w:r>
    </w:p>
    <w:p w:rsidR="0050656A" w:rsidRPr="008A40EC" w:rsidRDefault="00F868D6" w:rsidP="00DE65E1">
      <w:pPr>
        <w:spacing w:line="360" w:lineRule="auto"/>
        <w:ind w:firstLine="720"/>
        <w:jc w:val="both"/>
        <w:rPr>
          <w:highlight w:val="yellow"/>
          <w:lang w:val="en-US"/>
        </w:rPr>
      </w:pPr>
      <w:r w:rsidRPr="008A40EC">
        <w:rPr>
          <w:lang w:val="en-US"/>
        </w:rPr>
        <w:t xml:space="preserve">3 Wang Y., et al. Triboelectric nanogenerators as flexible power sources // </w:t>
      </w:r>
      <w:proofErr w:type="spellStart"/>
      <w:r w:rsidRPr="008A40EC">
        <w:rPr>
          <w:lang w:val="en-US"/>
        </w:rPr>
        <w:t>npj</w:t>
      </w:r>
      <w:proofErr w:type="spellEnd"/>
      <w:r w:rsidRPr="008A40EC">
        <w:rPr>
          <w:lang w:val="en-US"/>
        </w:rPr>
        <w:t xml:space="preserve"> Flexible Electronics. – 2017. – Vol. 10. – P. 1-10.</w:t>
      </w:r>
    </w:p>
    <w:p w:rsidR="0050656A" w:rsidRPr="008A40EC" w:rsidRDefault="00F868D6" w:rsidP="00DE65E1">
      <w:pPr>
        <w:spacing w:line="360" w:lineRule="auto"/>
        <w:jc w:val="both"/>
        <w:rPr>
          <w:lang w:val="en-US"/>
        </w:rPr>
      </w:pPr>
      <w:r w:rsidRPr="00CC4D80">
        <w:rPr>
          <w:lang w:val="en-US"/>
        </w:rPr>
        <w:tab/>
        <w:t>4 Qi</w:t>
      </w:r>
      <w:r w:rsidRPr="008A40EC">
        <w:rPr>
          <w:lang w:val="en-US"/>
        </w:rPr>
        <w:t xml:space="preserve"> Y., et al. Nanotechnology-enabled flexible and biocompatible energy harvesting // Energy &amp; Environmental Science. – 2010. – Vol. 3. – P. 1275-1285.</w:t>
      </w:r>
    </w:p>
    <w:p w:rsidR="0050656A" w:rsidRPr="008A40EC" w:rsidRDefault="00F868D6" w:rsidP="00DE65E1">
      <w:pPr>
        <w:spacing w:line="360" w:lineRule="auto"/>
        <w:jc w:val="both"/>
        <w:rPr>
          <w:lang w:val="en-US"/>
        </w:rPr>
      </w:pPr>
      <w:r w:rsidRPr="008A40EC">
        <w:rPr>
          <w:lang w:val="en-US"/>
        </w:rPr>
        <w:tab/>
        <w:t xml:space="preserve">5 </w:t>
      </w:r>
      <w:proofErr w:type="spellStart"/>
      <w:r w:rsidRPr="008A40EC">
        <w:rPr>
          <w:lang w:val="en-US"/>
        </w:rPr>
        <w:t>Paosangthong</w:t>
      </w:r>
      <w:proofErr w:type="spellEnd"/>
      <w:r w:rsidRPr="008A40EC">
        <w:rPr>
          <w:lang w:val="en-US"/>
        </w:rPr>
        <w:t xml:space="preserve"> W., et al. Recent progress on textile-based triboelectric nanogenerators // Nano Energy. – 2019. – Vol. 55. – P. 401-423.</w:t>
      </w:r>
    </w:p>
    <w:p w:rsidR="0050656A" w:rsidRPr="008A40EC" w:rsidRDefault="00F868D6" w:rsidP="00DE65E1">
      <w:pPr>
        <w:spacing w:line="360" w:lineRule="auto"/>
        <w:jc w:val="both"/>
        <w:rPr>
          <w:lang w:val="en-US"/>
        </w:rPr>
      </w:pPr>
      <w:r w:rsidRPr="008A40EC">
        <w:rPr>
          <w:lang w:val="en-US"/>
        </w:rPr>
        <w:tab/>
        <w:t>6 Yu A., et al. Core–Shell-Yarn-Based Triboelectric Nanogenerator Textiles as Power Cloths // ACS Nano. – 2017. – Vol. 11. – P. 12764-12771.</w:t>
      </w:r>
    </w:p>
    <w:p w:rsidR="0050656A" w:rsidRPr="008A40EC" w:rsidRDefault="00652649" w:rsidP="00DE65E1">
      <w:pPr>
        <w:spacing w:line="360" w:lineRule="auto"/>
        <w:ind w:firstLine="720"/>
        <w:jc w:val="both"/>
        <w:rPr>
          <w:lang w:val="en-US"/>
        </w:rPr>
      </w:pPr>
      <w:r>
        <w:rPr>
          <w:lang w:val="en-US"/>
        </w:rPr>
        <w:t>7</w:t>
      </w:r>
      <w:r w:rsidR="00F868D6" w:rsidRPr="008A40EC">
        <w:rPr>
          <w:lang w:val="en-US"/>
        </w:rPr>
        <w:t xml:space="preserve"> Zhang, et al. A flexible copper </w:t>
      </w:r>
      <w:proofErr w:type="spellStart"/>
      <w:r w:rsidR="00F868D6" w:rsidRPr="008A40EC">
        <w:rPr>
          <w:lang w:val="en-US"/>
        </w:rPr>
        <w:t>sulfide@multi-walled</w:t>
      </w:r>
      <w:proofErr w:type="spellEnd"/>
      <w:r w:rsidR="00F868D6" w:rsidRPr="008A40EC">
        <w:rPr>
          <w:lang w:val="en-US"/>
        </w:rPr>
        <w:t xml:space="preserve"> carbon nanotubes cathode for advanced magnesium-lithium-ion batteries. Journal of Colloid and Interface Science. </w:t>
      </w:r>
      <w:r w:rsidRPr="008A40EC">
        <w:rPr>
          <w:lang w:val="en-US"/>
        </w:rPr>
        <w:t>–</w:t>
      </w:r>
      <w:r w:rsidR="00F868D6" w:rsidRPr="008A40EC">
        <w:rPr>
          <w:lang w:val="en-US"/>
        </w:rPr>
        <w:t xml:space="preserve"> 2019.</w:t>
      </w:r>
      <w:r w:rsidRPr="00652649">
        <w:rPr>
          <w:lang w:val="en-US"/>
        </w:rPr>
        <w:t xml:space="preserve"> </w:t>
      </w:r>
      <w:r w:rsidRPr="008A40EC">
        <w:rPr>
          <w:lang w:val="en-US"/>
        </w:rPr>
        <w:t>–</w:t>
      </w:r>
      <w:r w:rsidR="00F868D6" w:rsidRPr="008A40EC">
        <w:rPr>
          <w:lang w:val="en-US"/>
        </w:rPr>
        <w:t xml:space="preserve"> Vol. 553. </w:t>
      </w:r>
      <w:r w:rsidRPr="008A40EC">
        <w:rPr>
          <w:lang w:val="en-US"/>
        </w:rPr>
        <w:t>–</w:t>
      </w:r>
      <w:r w:rsidR="00F868D6" w:rsidRPr="008A40EC">
        <w:rPr>
          <w:lang w:val="en-US"/>
        </w:rPr>
        <w:t>P. 239-246.</w:t>
      </w:r>
    </w:p>
    <w:p w:rsidR="0050656A" w:rsidRPr="008A40EC" w:rsidRDefault="00652649" w:rsidP="00DE65E1">
      <w:pPr>
        <w:spacing w:line="360" w:lineRule="auto"/>
        <w:ind w:firstLine="720"/>
        <w:jc w:val="both"/>
        <w:rPr>
          <w:lang w:val="en-US"/>
        </w:rPr>
      </w:pPr>
      <w:r>
        <w:rPr>
          <w:lang w:val="en-US"/>
        </w:rPr>
        <w:t xml:space="preserve">8 </w:t>
      </w:r>
      <w:r w:rsidR="00F868D6" w:rsidRPr="008A40EC">
        <w:rPr>
          <w:lang w:val="en-US"/>
        </w:rPr>
        <w:t xml:space="preserve">Du, T., et al. A Universal Strategy to Fabricate Metal </w:t>
      </w:r>
      <w:proofErr w:type="spellStart"/>
      <w:r w:rsidR="00F868D6" w:rsidRPr="008A40EC">
        <w:rPr>
          <w:lang w:val="en-US"/>
        </w:rPr>
        <w:t>Sulfides@Carbon</w:t>
      </w:r>
      <w:proofErr w:type="spellEnd"/>
      <w:r w:rsidR="00F868D6" w:rsidRPr="008A40EC">
        <w:rPr>
          <w:lang w:val="en-US"/>
        </w:rPr>
        <w:t xml:space="preserve"> Fibers As Freestanding and Flexible Anodes for High-Performance Lithium/Sodium Storage. ACS Applied Energy Materials. </w:t>
      </w:r>
      <w:r w:rsidRPr="008A40EC">
        <w:rPr>
          <w:lang w:val="en-US"/>
        </w:rPr>
        <w:t>–</w:t>
      </w:r>
      <w:r w:rsidRPr="00652649">
        <w:rPr>
          <w:lang w:val="en-US"/>
        </w:rPr>
        <w:t xml:space="preserve"> </w:t>
      </w:r>
      <w:r w:rsidR="00F868D6" w:rsidRPr="008A40EC">
        <w:rPr>
          <w:lang w:val="en-US"/>
        </w:rPr>
        <w:t>2019.</w:t>
      </w:r>
      <w:r w:rsidRPr="00652649">
        <w:rPr>
          <w:lang w:val="en-US"/>
        </w:rPr>
        <w:t xml:space="preserve"> </w:t>
      </w:r>
      <w:r w:rsidRPr="008A40EC">
        <w:rPr>
          <w:lang w:val="en-US"/>
        </w:rPr>
        <w:t>–</w:t>
      </w:r>
      <w:r w:rsidR="00F868D6" w:rsidRPr="008A40EC">
        <w:rPr>
          <w:lang w:val="en-US"/>
        </w:rPr>
        <w:t xml:space="preserve"> Vol. 2. </w:t>
      </w:r>
      <w:r w:rsidRPr="008A40EC">
        <w:rPr>
          <w:lang w:val="en-US"/>
        </w:rPr>
        <w:t>–</w:t>
      </w:r>
      <w:r w:rsidRPr="00A4756F">
        <w:rPr>
          <w:lang w:val="en-US"/>
        </w:rPr>
        <w:t xml:space="preserve"> </w:t>
      </w:r>
      <w:r w:rsidR="00F868D6" w:rsidRPr="008A40EC">
        <w:rPr>
          <w:lang w:val="en-US"/>
        </w:rPr>
        <w:t>P. 4421–4427</w:t>
      </w:r>
      <w:r w:rsidR="00F868D6" w:rsidRPr="008A40EC">
        <w:rPr>
          <w:i/>
          <w:lang w:val="en-US"/>
        </w:rPr>
        <w:t>.</w:t>
      </w:r>
    </w:p>
    <w:p w:rsidR="0050656A" w:rsidRPr="008A40EC" w:rsidRDefault="00F868D6" w:rsidP="00DE65E1">
      <w:pPr>
        <w:spacing w:line="360" w:lineRule="auto"/>
        <w:ind w:firstLine="720"/>
        <w:jc w:val="both"/>
        <w:rPr>
          <w:lang w:val="en-US"/>
        </w:rPr>
      </w:pPr>
      <w:r w:rsidRPr="008A40EC">
        <w:rPr>
          <w:lang w:val="en-US"/>
        </w:rPr>
        <w:t xml:space="preserve">9 Liu, W., et al. A Flexible, Binder-Free Graphene Oxide/Copper Sulfides Film for High-Performance Sodium Ion Batteries. </w:t>
      </w:r>
      <w:proofErr w:type="spellStart"/>
      <w:r w:rsidRPr="008A40EC">
        <w:rPr>
          <w:lang w:val="en-US"/>
        </w:rPr>
        <w:t>ChemistrySelect</w:t>
      </w:r>
      <w:proofErr w:type="spellEnd"/>
      <w:r w:rsidRPr="008A40EC">
        <w:rPr>
          <w:lang w:val="en-US"/>
        </w:rPr>
        <w:t xml:space="preserve">. </w:t>
      </w:r>
      <w:r w:rsidR="00652649" w:rsidRPr="008A40EC">
        <w:rPr>
          <w:lang w:val="en-US"/>
        </w:rPr>
        <w:t>–</w:t>
      </w:r>
      <w:r w:rsidR="00652649" w:rsidRPr="00A4756F">
        <w:rPr>
          <w:lang w:val="en-US"/>
        </w:rPr>
        <w:t xml:space="preserve"> </w:t>
      </w:r>
      <w:r w:rsidRPr="008A40EC">
        <w:rPr>
          <w:lang w:val="en-US"/>
        </w:rPr>
        <w:t>2018.</w:t>
      </w:r>
      <w:r w:rsidR="00652649" w:rsidRPr="00652649">
        <w:rPr>
          <w:lang w:val="en-US"/>
        </w:rPr>
        <w:t xml:space="preserve"> </w:t>
      </w:r>
      <w:r w:rsidR="00652649" w:rsidRPr="008A40EC">
        <w:rPr>
          <w:lang w:val="en-US"/>
        </w:rPr>
        <w:t>–</w:t>
      </w:r>
      <w:r w:rsidRPr="008A40EC">
        <w:rPr>
          <w:lang w:val="en-US"/>
        </w:rPr>
        <w:t xml:space="preserve"> Vol. 3. </w:t>
      </w:r>
      <w:r w:rsidR="00652649" w:rsidRPr="008A40EC">
        <w:rPr>
          <w:lang w:val="en-US"/>
        </w:rPr>
        <w:t>–</w:t>
      </w:r>
      <w:r w:rsidR="00652649" w:rsidRPr="00A4756F">
        <w:rPr>
          <w:lang w:val="en-US"/>
        </w:rPr>
        <w:t xml:space="preserve"> </w:t>
      </w:r>
      <w:r w:rsidRPr="008A40EC">
        <w:rPr>
          <w:lang w:val="en-US"/>
        </w:rPr>
        <w:t>P. 5608–5613.</w:t>
      </w:r>
    </w:p>
    <w:p w:rsidR="0050656A" w:rsidRPr="008A40EC" w:rsidRDefault="00F868D6" w:rsidP="00DE65E1">
      <w:pPr>
        <w:spacing w:line="360" w:lineRule="auto"/>
        <w:ind w:firstLine="720"/>
        <w:jc w:val="both"/>
        <w:rPr>
          <w:lang w:val="en-US"/>
        </w:rPr>
      </w:pPr>
      <w:r w:rsidRPr="008A40EC">
        <w:rPr>
          <w:lang w:val="en-US"/>
        </w:rPr>
        <w:t xml:space="preserve">10 Nguyen, et al. </w:t>
      </w:r>
      <w:proofErr w:type="spellStart"/>
      <w:r w:rsidRPr="008A40EC">
        <w:rPr>
          <w:lang w:val="en-US"/>
        </w:rPr>
        <w:t>MXene</w:t>
      </w:r>
      <w:proofErr w:type="spellEnd"/>
      <w:r w:rsidRPr="008A40EC">
        <w:rPr>
          <w:lang w:val="en-US"/>
        </w:rPr>
        <w:t xml:space="preserve">(Ti3C2TX)/graphene/PDMS composites for multifunctional broadband electromagnetic interference shielding skins. Chemical Engineering Journal. </w:t>
      </w:r>
      <w:r w:rsidR="00021CDD" w:rsidRPr="00A4756F">
        <w:rPr>
          <w:lang w:val="en-US"/>
        </w:rPr>
        <w:t>–</w:t>
      </w:r>
      <w:r w:rsidRPr="008A40EC">
        <w:rPr>
          <w:lang w:val="en-US"/>
        </w:rPr>
        <w:t>2020.</w:t>
      </w:r>
      <w:r w:rsidR="00021CDD" w:rsidRPr="00A4756F">
        <w:rPr>
          <w:lang w:val="en-US"/>
        </w:rPr>
        <w:t xml:space="preserve"> –</w:t>
      </w:r>
      <w:r w:rsidR="00652649">
        <w:rPr>
          <w:lang w:val="en-US"/>
        </w:rPr>
        <w:t xml:space="preserve"> Vol. </w:t>
      </w:r>
      <w:r w:rsidRPr="008A40EC">
        <w:rPr>
          <w:lang w:val="en-US"/>
        </w:rPr>
        <w:t xml:space="preserve">393. </w:t>
      </w:r>
      <w:r w:rsidR="00652649" w:rsidRPr="008A40EC">
        <w:rPr>
          <w:lang w:val="en-US"/>
        </w:rPr>
        <w:t>–</w:t>
      </w:r>
      <w:r w:rsidRPr="008A40EC">
        <w:rPr>
          <w:lang w:val="en-US"/>
        </w:rPr>
        <w:t>P. 124608-124617.</w:t>
      </w:r>
    </w:p>
    <w:p w:rsidR="0050656A" w:rsidRDefault="00F868D6" w:rsidP="00DE65E1">
      <w:pPr>
        <w:spacing w:line="360" w:lineRule="auto"/>
        <w:ind w:firstLine="720"/>
        <w:jc w:val="both"/>
      </w:pPr>
      <w:r w:rsidRPr="008A40EC">
        <w:rPr>
          <w:lang w:val="en-US"/>
        </w:rPr>
        <w:t xml:space="preserve">11 Kaiser, et al. A methodical approach for fabrication of binder-free Li2S-C composite cathode with high loading of active material for Li-S battery. </w:t>
      </w:r>
      <w:proofErr w:type="spellStart"/>
      <w:r>
        <w:t>Carbon</w:t>
      </w:r>
      <w:proofErr w:type="spellEnd"/>
      <w:r>
        <w:t xml:space="preserve">. </w:t>
      </w:r>
      <w:r w:rsidR="00021CDD">
        <w:t>–</w:t>
      </w:r>
      <w:r>
        <w:t>2016.</w:t>
      </w:r>
      <w:r w:rsidR="00021CDD" w:rsidRPr="00021CDD">
        <w:t xml:space="preserve"> </w:t>
      </w:r>
      <w:r w:rsidR="00021CDD">
        <w:t>–</w:t>
      </w:r>
      <w:r>
        <w:t xml:space="preserve"> </w:t>
      </w:r>
      <w:proofErr w:type="spellStart"/>
      <w:r>
        <w:t>Vol</w:t>
      </w:r>
      <w:proofErr w:type="spellEnd"/>
      <w:r>
        <w:t>. 103.</w:t>
      </w:r>
      <w:r w:rsidR="00652649" w:rsidRPr="00A4756F">
        <w:t xml:space="preserve"> –</w:t>
      </w:r>
      <w:r>
        <w:t xml:space="preserve"> P. 163–171.</w:t>
      </w:r>
    </w:p>
    <w:p w:rsidR="0050656A" w:rsidRDefault="00F868D6" w:rsidP="00DE65E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br w:type="page"/>
      </w:r>
    </w:p>
    <w:p w:rsidR="0050656A" w:rsidRDefault="00F868D6">
      <w:pPr>
        <w:spacing w:line="360" w:lineRule="auto"/>
        <w:jc w:val="center"/>
        <w:rPr>
          <w:b/>
        </w:rPr>
      </w:pPr>
      <w:r>
        <w:rPr>
          <w:b/>
        </w:rPr>
        <w:lastRenderedPageBreak/>
        <w:t>ПРИЛОЖЕНИЕ А</w:t>
      </w:r>
    </w:p>
    <w:p w:rsidR="0050656A" w:rsidRDefault="0050656A">
      <w:pPr>
        <w:spacing w:line="360" w:lineRule="auto"/>
        <w:jc w:val="center"/>
        <w:rPr>
          <w:b/>
        </w:rPr>
      </w:pPr>
    </w:p>
    <w:p w:rsidR="0050656A" w:rsidRDefault="00F868D6">
      <w:pPr>
        <w:spacing w:line="360" w:lineRule="auto"/>
        <w:jc w:val="center"/>
        <w:rPr>
          <w:b/>
        </w:rPr>
      </w:pPr>
      <w:r>
        <w:rPr>
          <w:b/>
        </w:rPr>
        <w:t>Календарный план</w:t>
      </w:r>
    </w:p>
    <w:p w:rsidR="0050656A" w:rsidRDefault="0050656A">
      <w:pPr>
        <w:spacing w:line="360" w:lineRule="auto"/>
      </w:pPr>
    </w:p>
    <w:p w:rsidR="0050656A" w:rsidRDefault="00492D68">
      <w:pPr>
        <w:spacing w:line="360" w:lineRule="auto"/>
      </w:pPr>
      <w:r w:rsidRPr="00492D68">
        <w:rPr>
          <w:noProof/>
        </w:rPr>
        <w:drawing>
          <wp:inline distT="0" distB="0" distL="0" distR="0" wp14:anchorId="3AFBF175" wp14:editId="148CF5C0">
            <wp:extent cx="5680953" cy="815659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94342" cy="817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68" w:rsidRDefault="00492D68">
      <w:pPr>
        <w:spacing w:line="360" w:lineRule="auto"/>
      </w:pPr>
      <w:r w:rsidRPr="00492D68">
        <w:rPr>
          <w:noProof/>
        </w:rPr>
        <w:lastRenderedPageBreak/>
        <w:drawing>
          <wp:inline distT="0" distB="0" distL="0" distR="0" wp14:anchorId="248242D2" wp14:editId="1D5AED93">
            <wp:extent cx="5710184" cy="8278401"/>
            <wp:effectExtent l="0" t="0" r="508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29151" cy="830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68" w:rsidRDefault="00492D68">
      <w:pPr>
        <w:spacing w:line="360" w:lineRule="auto"/>
      </w:pPr>
    </w:p>
    <w:p w:rsidR="00492D68" w:rsidRDefault="00492D68">
      <w:pPr>
        <w:spacing w:line="360" w:lineRule="auto"/>
      </w:pPr>
    </w:p>
    <w:p w:rsidR="00492D68" w:rsidRDefault="00492D68">
      <w:pPr>
        <w:spacing w:line="360" w:lineRule="auto"/>
      </w:pPr>
    </w:p>
    <w:p w:rsidR="00492D68" w:rsidRDefault="00C23ACD">
      <w:pPr>
        <w:spacing w:line="360" w:lineRule="auto"/>
      </w:pPr>
      <w:r w:rsidRPr="00C23ACD">
        <w:rPr>
          <w:noProof/>
        </w:rPr>
        <w:lastRenderedPageBreak/>
        <w:drawing>
          <wp:inline distT="0" distB="0" distL="0" distR="0" wp14:anchorId="5449CF69" wp14:editId="50F78C05">
            <wp:extent cx="5758775" cy="852741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8286" cy="854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  <w:r w:rsidRPr="00C23ACD">
        <w:rPr>
          <w:noProof/>
        </w:rPr>
        <w:lastRenderedPageBreak/>
        <w:drawing>
          <wp:inline distT="0" distB="0" distL="0" distR="0" wp14:anchorId="7EC95050" wp14:editId="01FE9C4E">
            <wp:extent cx="5817141" cy="8138535"/>
            <wp:effectExtent l="0" t="0" r="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30237" cy="815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  <w:r w:rsidRPr="00C23ACD">
        <w:rPr>
          <w:noProof/>
        </w:rPr>
        <w:lastRenderedPageBreak/>
        <w:drawing>
          <wp:inline distT="0" distB="0" distL="0" distR="0" wp14:anchorId="6CFA1A76" wp14:editId="1B94E5C2">
            <wp:extent cx="5817141" cy="8314121"/>
            <wp:effectExtent l="0" t="0" r="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7706" cy="832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</w:p>
    <w:p w:rsidR="00C23ACD" w:rsidRDefault="00C23ACD">
      <w:pPr>
        <w:spacing w:line="360" w:lineRule="auto"/>
      </w:pPr>
      <w:r w:rsidRPr="00C23ACD">
        <w:rPr>
          <w:noProof/>
        </w:rPr>
        <w:lastRenderedPageBreak/>
        <w:drawing>
          <wp:inline distT="0" distB="0" distL="0" distR="0" wp14:anchorId="3318EE6C" wp14:editId="5B85B5B8">
            <wp:extent cx="5846324" cy="823312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62234" cy="825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56A" w:rsidRDefault="0050656A">
      <w:pPr>
        <w:spacing w:line="360" w:lineRule="auto"/>
      </w:pPr>
    </w:p>
    <w:p w:rsidR="0050656A" w:rsidRDefault="0050656A">
      <w:pPr>
        <w:spacing w:line="360" w:lineRule="auto"/>
      </w:pPr>
    </w:p>
    <w:p w:rsidR="0050656A" w:rsidRDefault="0050656A">
      <w:pPr>
        <w:spacing w:line="360" w:lineRule="auto"/>
      </w:pPr>
    </w:p>
    <w:p w:rsidR="0050656A" w:rsidRDefault="00F868D6">
      <w:pPr>
        <w:spacing w:line="360" w:lineRule="auto"/>
        <w:jc w:val="center"/>
        <w:rPr>
          <w:b/>
        </w:rPr>
      </w:pPr>
      <w:r>
        <w:rPr>
          <w:b/>
        </w:rPr>
        <w:lastRenderedPageBreak/>
        <w:t>ПРИЛОЖЕНИЕ Б</w:t>
      </w:r>
    </w:p>
    <w:p w:rsidR="008722C7" w:rsidRDefault="008722C7">
      <w:pPr>
        <w:spacing w:line="360" w:lineRule="auto"/>
        <w:jc w:val="center"/>
      </w:pPr>
    </w:p>
    <w:p w:rsidR="0050656A" w:rsidRDefault="00F868D6">
      <w:pPr>
        <w:spacing w:line="360" w:lineRule="auto"/>
        <w:jc w:val="center"/>
        <w:rPr>
          <w:b/>
        </w:rPr>
      </w:pPr>
      <w:r>
        <w:rPr>
          <w:b/>
        </w:rPr>
        <w:t>Оттиски опубликованных статей</w:t>
      </w:r>
    </w:p>
    <w:p w:rsidR="0050656A" w:rsidRDefault="0050656A">
      <w:pPr>
        <w:spacing w:line="360" w:lineRule="auto"/>
        <w:jc w:val="center"/>
        <w:rPr>
          <w:color w:val="000000"/>
        </w:rPr>
      </w:pPr>
    </w:p>
    <w:p w:rsidR="0050656A" w:rsidRDefault="00F868D6">
      <w:pPr>
        <w:spacing w:line="360" w:lineRule="auto"/>
      </w:pPr>
      <w:r>
        <w:rPr>
          <w:noProof/>
          <w:lang w:val="en-US" w:eastAsia="en-US"/>
        </w:rPr>
        <w:drawing>
          <wp:inline distT="114300" distB="114300" distL="114300" distR="114300">
            <wp:extent cx="5849303" cy="7590437"/>
            <wp:effectExtent l="0" t="0" r="0" b="0"/>
            <wp:docPr id="2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9303" cy="75904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50656A">
      <w:pPr>
        <w:spacing w:line="360" w:lineRule="auto"/>
      </w:pPr>
    </w:p>
    <w:p w:rsidR="0050656A" w:rsidRDefault="0050656A">
      <w:pPr>
        <w:spacing w:line="360" w:lineRule="auto"/>
      </w:pPr>
    </w:p>
    <w:p w:rsidR="0050656A" w:rsidRDefault="00F868D6">
      <w:pPr>
        <w:spacing w:line="360" w:lineRule="auto"/>
      </w:pPr>
      <w:r>
        <w:rPr>
          <w:noProof/>
          <w:lang w:val="en-US" w:eastAsia="en-US"/>
        </w:rPr>
        <w:lastRenderedPageBreak/>
        <w:drawing>
          <wp:inline distT="114300" distB="114300" distL="114300" distR="114300">
            <wp:extent cx="5811203" cy="8128328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1203" cy="8128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656A" w:rsidRDefault="0050656A">
      <w:pPr>
        <w:spacing w:line="360" w:lineRule="auto"/>
      </w:pPr>
    </w:p>
    <w:p w:rsidR="0050656A" w:rsidRDefault="0050656A">
      <w:pPr>
        <w:spacing w:line="360" w:lineRule="auto"/>
      </w:pPr>
    </w:p>
    <w:sectPr w:rsidR="0050656A" w:rsidSect="00B16395">
      <w:footerReference w:type="default" r:id="rId51"/>
      <w:pgSz w:w="11906" w:h="16838"/>
      <w:pgMar w:top="1133" w:right="850" w:bottom="1133" w:left="1701" w:header="0" w:footer="446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12414" w:rsidRDefault="00A12414">
      <w:r>
        <w:separator/>
      </w:r>
    </w:p>
  </w:endnote>
  <w:endnote w:type="continuationSeparator" w:id="0">
    <w:p w:rsidR="00A12414" w:rsidRDefault="00A124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altName w:val="﷽﷽﷽﷽﷽﷽﷽﷽雀ȧ怀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868D6" w:rsidRDefault="00B1639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center"/>
    </w:pPr>
    <w:r>
      <w:fldChar w:fldCharType="begin"/>
    </w:r>
    <w:r w:rsidR="00F868D6">
      <w:rPr>
        <w:rFonts w:eastAsia="Times New Roman"/>
      </w:rPr>
      <w:instrText>PAGE</w:instrText>
    </w:r>
    <w:r>
      <w:fldChar w:fldCharType="separate"/>
    </w:r>
    <w:r w:rsidR="000543F1">
      <w:rPr>
        <w:rFonts w:eastAsia="Times New Roman"/>
        <w:noProof/>
      </w:rPr>
      <w:t>6</w:t>
    </w:r>
    <w:r>
      <w:fldChar w:fldCharType="end"/>
    </w:r>
  </w:p>
  <w:p w:rsidR="00F868D6" w:rsidRDefault="00F868D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12414" w:rsidRDefault="00A12414">
      <w:r>
        <w:separator/>
      </w:r>
    </w:p>
  </w:footnote>
  <w:footnote w:type="continuationSeparator" w:id="0">
    <w:p w:rsidR="00A12414" w:rsidRDefault="00A124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D564A"/>
    <w:multiLevelType w:val="multilevel"/>
    <w:tmpl w:val="5114C2BE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" w15:restartNumberingAfterBreak="0">
    <w:nsid w:val="10F375B3"/>
    <w:multiLevelType w:val="multilevel"/>
    <w:tmpl w:val="488487A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3437606D"/>
    <w:multiLevelType w:val="multilevel"/>
    <w:tmpl w:val="2482E55C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3" w15:restartNumberingAfterBreak="0">
    <w:nsid w:val="34ED2475"/>
    <w:multiLevelType w:val="multilevel"/>
    <w:tmpl w:val="956CEB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42A33798"/>
    <w:multiLevelType w:val="multilevel"/>
    <w:tmpl w:val="E878E65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481A3F6D"/>
    <w:multiLevelType w:val="multilevel"/>
    <w:tmpl w:val="1A04767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1065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2835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605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375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440" w:hanging="1800"/>
      </w:pPr>
      <w:rPr>
        <w:rFonts w:hint="default"/>
        <w:color w:val="000000"/>
      </w:rPr>
    </w:lvl>
  </w:abstractNum>
  <w:abstractNum w:abstractNumId="6" w15:restartNumberingAfterBreak="0">
    <w:nsid w:val="4EF43460"/>
    <w:multiLevelType w:val="multilevel"/>
    <w:tmpl w:val="142E867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62C859F7"/>
    <w:multiLevelType w:val="multilevel"/>
    <w:tmpl w:val="43A694DC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8" w15:restartNumberingAfterBreak="0">
    <w:nsid w:val="715A5DAB"/>
    <w:multiLevelType w:val="multilevel"/>
    <w:tmpl w:val="54E6964C"/>
    <w:lvl w:ilvl="0">
      <w:start w:val="1"/>
      <w:numFmt w:val="decimal"/>
      <w:lvlText w:val="%1)"/>
      <w:lvlJc w:val="left"/>
      <w:pPr>
        <w:ind w:left="720" w:firstLine="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72AF04D1"/>
    <w:multiLevelType w:val="multilevel"/>
    <w:tmpl w:val="DD187ED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9"/>
  </w:num>
  <w:num w:numId="3">
    <w:abstractNumId w:val="8"/>
  </w:num>
  <w:num w:numId="4">
    <w:abstractNumId w:val="3"/>
  </w:num>
  <w:num w:numId="5">
    <w:abstractNumId w:val="7"/>
  </w:num>
  <w:num w:numId="6">
    <w:abstractNumId w:val="2"/>
  </w:num>
  <w:num w:numId="7">
    <w:abstractNumId w:val="6"/>
  </w:num>
  <w:num w:numId="8">
    <w:abstractNumId w:val="0"/>
  </w:num>
  <w:num w:numId="9">
    <w:abstractNumId w:val="4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656A"/>
    <w:rsid w:val="00014B06"/>
    <w:rsid w:val="00021CDD"/>
    <w:rsid w:val="000543F1"/>
    <w:rsid w:val="00091FB9"/>
    <w:rsid w:val="000C580B"/>
    <w:rsid w:val="000D47D2"/>
    <w:rsid w:val="000F0F22"/>
    <w:rsid w:val="000F751D"/>
    <w:rsid w:val="00100F28"/>
    <w:rsid w:val="001167D2"/>
    <w:rsid w:val="0012128C"/>
    <w:rsid w:val="00173A23"/>
    <w:rsid w:val="001B4839"/>
    <w:rsid w:val="001C38F2"/>
    <w:rsid w:val="002278E7"/>
    <w:rsid w:val="00257C23"/>
    <w:rsid w:val="002600DD"/>
    <w:rsid w:val="0026074A"/>
    <w:rsid w:val="002C251D"/>
    <w:rsid w:val="002F31CB"/>
    <w:rsid w:val="003023A9"/>
    <w:rsid w:val="0030722C"/>
    <w:rsid w:val="00323917"/>
    <w:rsid w:val="00347350"/>
    <w:rsid w:val="00366F33"/>
    <w:rsid w:val="003A25F4"/>
    <w:rsid w:val="003F4DBF"/>
    <w:rsid w:val="00426CAF"/>
    <w:rsid w:val="00480622"/>
    <w:rsid w:val="00492D68"/>
    <w:rsid w:val="004E3AB7"/>
    <w:rsid w:val="004E6E2E"/>
    <w:rsid w:val="0050656A"/>
    <w:rsid w:val="0050789A"/>
    <w:rsid w:val="00575863"/>
    <w:rsid w:val="00583D43"/>
    <w:rsid w:val="005B0097"/>
    <w:rsid w:val="005B448E"/>
    <w:rsid w:val="005B56FA"/>
    <w:rsid w:val="005F7BFE"/>
    <w:rsid w:val="00632AB5"/>
    <w:rsid w:val="00640CDB"/>
    <w:rsid w:val="00641E55"/>
    <w:rsid w:val="00644CF4"/>
    <w:rsid w:val="00652649"/>
    <w:rsid w:val="006D2199"/>
    <w:rsid w:val="00715600"/>
    <w:rsid w:val="00716975"/>
    <w:rsid w:val="00744B20"/>
    <w:rsid w:val="00744DBD"/>
    <w:rsid w:val="007847BE"/>
    <w:rsid w:val="007D6433"/>
    <w:rsid w:val="00806AB3"/>
    <w:rsid w:val="00836884"/>
    <w:rsid w:val="008651E8"/>
    <w:rsid w:val="008722C7"/>
    <w:rsid w:val="008925E4"/>
    <w:rsid w:val="00895F0A"/>
    <w:rsid w:val="00896F67"/>
    <w:rsid w:val="008A40EC"/>
    <w:rsid w:val="00901D28"/>
    <w:rsid w:val="009568E2"/>
    <w:rsid w:val="00957F3F"/>
    <w:rsid w:val="009E10B2"/>
    <w:rsid w:val="009F02E8"/>
    <w:rsid w:val="00A12414"/>
    <w:rsid w:val="00A4756F"/>
    <w:rsid w:val="00A479B8"/>
    <w:rsid w:val="00A56866"/>
    <w:rsid w:val="00A86716"/>
    <w:rsid w:val="00A8733B"/>
    <w:rsid w:val="00AD7D5F"/>
    <w:rsid w:val="00AE2761"/>
    <w:rsid w:val="00B16395"/>
    <w:rsid w:val="00B633F8"/>
    <w:rsid w:val="00B90514"/>
    <w:rsid w:val="00BE2246"/>
    <w:rsid w:val="00BF3EEC"/>
    <w:rsid w:val="00C1341F"/>
    <w:rsid w:val="00C23ACD"/>
    <w:rsid w:val="00C26064"/>
    <w:rsid w:val="00C76886"/>
    <w:rsid w:val="00C8176D"/>
    <w:rsid w:val="00C97D92"/>
    <w:rsid w:val="00CC4D80"/>
    <w:rsid w:val="00CC5BC8"/>
    <w:rsid w:val="00D12DE2"/>
    <w:rsid w:val="00D32531"/>
    <w:rsid w:val="00D443A9"/>
    <w:rsid w:val="00D65B75"/>
    <w:rsid w:val="00D90692"/>
    <w:rsid w:val="00DD16D3"/>
    <w:rsid w:val="00DD32A9"/>
    <w:rsid w:val="00DE65E1"/>
    <w:rsid w:val="00E4436D"/>
    <w:rsid w:val="00E82C8A"/>
    <w:rsid w:val="00ED18AA"/>
    <w:rsid w:val="00ED18DC"/>
    <w:rsid w:val="00F350A1"/>
    <w:rsid w:val="00F40387"/>
    <w:rsid w:val="00F41B97"/>
    <w:rsid w:val="00F86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3385216-A3AC-4986-A1D9-0FB995698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color w:val="00000A"/>
        <w:sz w:val="24"/>
        <w:szCs w:val="24"/>
        <w:lang w:val="ru-RU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B16395"/>
  </w:style>
  <w:style w:type="paragraph" w:styleId="Heading1">
    <w:name w:val="heading 1"/>
    <w:basedOn w:val="Normal"/>
    <w:next w:val="Normal"/>
    <w:rsid w:val="00B16395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rsid w:val="00B16395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rsid w:val="00B16395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rsid w:val="00B16395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rsid w:val="00B16395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rsid w:val="00B16395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rsid w:val="00B16395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rsid w:val="00B16395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B1639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rsid w:val="00B1639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rsid w:val="00B1639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rsid w:val="00B1639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rsid w:val="00B16395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40E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40E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167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534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tiff"/><Relationship Id="rId50" Type="http://schemas.openxmlformats.org/officeDocument/2006/relationships/image" Target="media/image44.png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tiff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tiff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tiff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44</Pages>
  <Words>7754</Words>
  <Characters>44198</Characters>
  <Application>Microsoft Office Word</Application>
  <DocSecurity>0</DocSecurity>
  <Lines>368</Lines>
  <Paragraphs>103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Gulnur Kalimuldina</cp:lastModifiedBy>
  <cp:revision>17</cp:revision>
  <dcterms:created xsi:type="dcterms:W3CDTF">2020-11-06T07:32:00Z</dcterms:created>
  <dcterms:modified xsi:type="dcterms:W3CDTF">2020-11-12T09:49:00Z</dcterms:modified>
</cp:coreProperties>
</file>